
<file path=[Content_Types].xml><?xml version="1.0" encoding="utf-8"?>
<Types xmlns="http://schemas.openxmlformats.org/package/2006/content-types">
  <Default Extension="bin" ContentType="application/vnd.openxmlformats-officedocument.oleObject"/>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17BAF" w:rsidRDefault="00A87604" w:rsidP="00F22C67">
      <w:pPr>
        <w:jc w:val="center"/>
        <w:rPr>
          <w:rFonts w:ascii="Arial" w:hAnsi="Arial" w:cs="Arial"/>
          <w:sz w:val="24"/>
        </w:rPr>
      </w:pPr>
      <w:r>
        <w:rPr>
          <w:rFonts w:ascii="Arial" w:hAnsi="Arial" w:cs="Arial"/>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26.55pt;margin-top:-46.05pt;width:496.65pt;height:582.15pt;z-index:-251658752">
            <v:imagedata r:id="rId7" o:title=""/>
          </v:shape>
          <o:OLEObject Type="Embed" ProgID="CorelDraw.Graphic.8" ShapeID="_x0000_s1027" DrawAspect="Content" ObjectID="_1586167382" r:id="rId8"/>
        </w:pict>
      </w:r>
    </w:p>
    <w:p w:rsidR="00917BAF" w:rsidRDefault="00917BAF" w:rsidP="00F22C67">
      <w:pPr>
        <w:jc w:val="center"/>
        <w:rPr>
          <w:rFonts w:ascii="Arial" w:hAnsi="Arial" w:cs="Arial"/>
          <w:sz w:val="24"/>
        </w:rPr>
      </w:pPr>
    </w:p>
    <w:p w:rsidR="00917BAF" w:rsidRDefault="00E244DB" w:rsidP="00E244DB">
      <w:pPr>
        <w:jc w:val="center"/>
        <w:rPr>
          <w:rFonts w:ascii="Arial" w:hAnsi="Arial" w:cs="Arial"/>
          <w:sz w:val="24"/>
        </w:rPr>
      </w:pPr>
      <w:r>
        <w:rPr>
          <w:rFonts w:ascii="Arial" w:hAnsi="Arial" w:cs="Arial"/>
          <w:sz w:val="24"/>
        </w:rPr>
        <w:t xml:space="preserve">SERVICIO SUBSIDIADO </w:t>
      </w:r>
    </w:p>
    <w:p w:rsidR="00F22C67" w:rsidRDefault="00F22C67" w:rsidP="00E244DB">
      <w:pPr>
        <w:jc w:val="center"/>
        <w:rPr>
          <w:rFonts w:ascii="Arial" w:hAnsi="Arial" w:cs="Arial"/>
          <w:sz w:val="24"/>
        </w:rPr>
      </w:pPr>
      <w:r>
        <w:rPr>
          <w:rFonts w:ascii="Arial" w:hAnsi="Arial" w:cs="Arial"/>
          <w:sz w:val="24"/>
        </w:rPr>
        <w:t xml:space="preserve">“SERVICIO MUNICIPAL DE RECOLECCION Y </w:t>
      </w:r>
      <w:r w:rsidR="00E244DB">
        <w:rPr>
          <w:rFonts w:ascii="Arial" w:hAnsi="Arial" w:cs="Arial"/>
          <w:sz w:val="24"/>
        </w:rPr>
        <w:t>DISPOSICION</w:t>
      </w:r>
      <w:r>
        <w:rPr>
          <w:rFonts w:ascii="Arial" w:hAnsi="Arial" w:cs="Arial"/>
          <w:sz w:val="24"/>
        </w:rPr>
        <w:t xml:space="preserve"> FINAL DE DESECHOS SOLIDOS</w:t>
      </w:r>
      <w:r w:rsidR="00066144">
        <w:rPr>
          <w:rFonts w:ascii="Arial" w:hAnsi="Arial" w:cs="Arial"/>
          <w:sz w:val="24"/>
        </w:rPr>
        <w:t xml:space="preserve"> </w:t>
      </w:r>
      <w:r w:rsidR="003F53F7">
        <w:rPr>
          <w:rFonts w:ascii="Arial" w:hAnsi="Arial" w:cs="Arial"/>
          <w:sz w:val="24"/>
        </w:rPr>
        <w:t xml:space="preserve">ENERO A JUNIO </w:t>
      </w:r>
      <w:bookmarkStart w:id="0" w:name="_GoBack"/>
      <w:bookmarkEnd w:id="0"/>
      <w:r w:rsidR="00066144">
        <w:rPr>
          <w:rFonts w:ascii="Arial" w:hAnsi="Arial" w:cs="Arial"/>
          <w:sz w:val="24"/>
        </w:rPr>
        <w:t>2017</w:t>
      </w:r>
      <w:r>
        <w:rPr>
          <w:rFonts w:ascii="Arial" w:hAnsi="Arial" w:cs="Arial"/>
          <w:sz w:val="24"/>
        </w:rPr>
        <w:t>”</w:t>
      </w:r>
    </w:p>
    <w:tbl>
      <w:tblPr>
        <w:tblW w:w="5900" w:type="dxa"/>
        <w:jc w:val="center"/>
        <w:tblCellMar>
          <w:left w:w="0" w:type="dxa"/>
          <w:right w:w="0" w:type="dxa"/>
        </w:tblCellMar>
        <w:tblLook w:val="0600" w:firstRow="0" w:lastRow="0" w:firstColumn="0" w:lastColumn="0" w:noHBand="1" w:noVBand="1"/>
      </w:tblPr>
      <w:tblGrid>
        <w:gridCol w:w="2007"/>
        <w:gridCol w:w="2167"/>
        <w:gridCol w:w="1726"/>
      </w:tblGrid>
      <w:tr w:rsidR="00066144" w:rsidRPr="00066144" w:rsidTr="00066144">
        <w:trPr>
          <w:trHeight w:val="578"/>
          <w:jc w:val="center"/>
        </w:trPr>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rsidR="00066144" w:rsidRPr="00066144" w:rsidRDefault="00066144" w:rsidP="00066144">
            <w:pPr>
              <w:spacing w:after="0" w:line="240" w:lineRule="auto"/>
              <w:jc w:val="center"/>
              <w:textAlignment w:val="bottom"/>
              <w:rPr>
                <w:rFonts w:ascii="Arial" w:eastAsia="Times New Roman" w:hAnsi="Arial" w:cs="Arial"/>
                <w:sz w:val="36"/>
                <w:szCs w:val="36"/>
              </w:rPr>
            </w:pPr>
            <w:r w:rsidRPr="00066144">
              <w:rPr>
                <w:rFonts w:ascii="Calibri" w:eastAsia="Times New Roman" w:hAnsi="Calibri" w:cs="Arial"/>
                <w:color w:val="000000"/>
                <w:kern w:val="24"/>
                <w:sz w:val="32"/>
                <w:szCs w:val="32"/>
                <w:lang w:val="es-ES"/>
              </w:rPr>
              <w:t>INGRESOS CONTRIB</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rsidR="00066144" w:rsidRPr="00066144" w:rsidRDefault="00066144" w:rsidP="00066144">
            <w:pPr>
              <w:spacing w:after="0" w:line="240" w:lineRule="auto"/>
              <w:jc w:val="center"/>
              <w:textAlignment w:val="bottom"/>
              <w:rPr>
                <w:rFonts w:ascii="Arial" w:eastAsia="Times New Roman" w:hAnsi="Arial" w:cs="Arial"/>
                <w:sz w:val="36"/>
                <w:szCs w:val="36"/>
              </w:rPr>
            </w:pPr>
            <w:r w:rsidRPr="00066144">
              <w:rPr>
                <w:rFonts w:ascii="Calibri" w:eastAsia="Times New Roman" w:hAnsi="Calibri" w:cs="Arial"/>
                <w:color w:val="000000"/>
                <w:kern w:val="24"/>
                <w:sz w:val="32"/>
                <w:szCs w:val="32"/>
                <w:lang w:val="es-ES"/>
              </w:rPr>
              <w:t>SUBSIDIO</w:t>
            </w:r>
          </w:p>
        </w:tc>
        <w:tc>
          <w:tcPr>
            <w:tcW w:w="1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rsidR="00066144" w:rsidRPr="00066144" w:rsidRDefault="00066144" w:rsidP="00066144">
            <w:pPr>
              <w:spacing w:after="0" w:line="240" w:lineRule="auto"/>
              <w:jc w:val="center"/>
              <w:textAlignment w:val="bottom"/>
              <w:rPr>
                <w:rFonts w:ascii="Arial" w:eastAsia="Times New Roman" w:hAnsi="Arial" w:cs="Arial"/>
                <w:sz w:val="36"/>
                <w:szCs w:val="36"/>
              </w:rPr>
            </w:pPr>
            <w:r w:rsidRPr="00066144">
              <w:rPr>
                <w:rFonts w:ascii="Calibri" w:eastAsia="Times New Roman" w:hAnsi="Calibri" w:cs="Arial"/>
                <w:color w:val="000000"/>
                <w:kern w:val="24"/>
                <w:sz w:val="32"/>
                <w:szCs w:val="32"/>
                <w:lang w:val="es-ES"/>
              </w:rPr>
              <w:t>EGRESOS ALCALDIA</w:t>
            </w:r>
          </w:p>
        </w:tc>
      </w:tr>
      <w:tr w:rsidR="00066144" w:rsidRPr="00066144" w:rsidTr="00066144">
        <w:trPr>
          <w:trHeight w:val="447"/>
          <w:jc w:val="center"/>
        </w:trPr>
        <w:tc>
          <w:tcPr>
            <w:tcW w:w="20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rsidR="00066144" w:rsidRPr="00066144" w:rsidRDefault="001B1AD4" w:rsidP="001B1AD4">
            <w:pPr>
              <w:spacing w:after="0" w:line="240" w:lineRule="auto"/>
              <w:jc w:val="center"/>
              <w:textAlignment w:val="bottom"/>
              <w:rPr>
                <w:rFonts w:ascii="Arial" w:eastAsia="Times New Roman" w:hAnsi="Arial" w:cs="Arial"/>
                <w:sz w:val="36"/>
                <w:szCs w:val="36"/>
              </w:rPr>
            </w:pPr>
            <w:r>
              <w:rPr>
                <w:rFonts w:ascii="Arial" w:eastAsia="Times New Roman" w:hAnsi="Arial" w:cs="Arial"/>
                <w:color w:val="000000"/>
                <w:kern w:val="24"/>
                <w:sz w:val="28"/>
                <w:szCs w:val="28"/>
              </w:rPr>
              <w:t xml:space="preserve">$ </w:t>
            </w:r>
            <w:r w:rsidR="00066144" w:rsidRPr="00066144">
              <w:rPr>
                <w:rFonts w:ascii="Arial" w:eastAsia="Times New Roman" w:hAnsi="Arial" w:cs="Arial"/>
                <w:color w:val="000000"/>
                <w:kern w:val="24"/>
                <w:sz w:val="28"/>
                <w:szCs w:val="28"/>
              </w:rPr>
              <w:t>4,149.60</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rsidR="00066144" w:rsidRPr="00066144" w:rsidRDefault="001B1AD4" w:rsidP="001B1AD4">
            <w:pPr>
              <w:spacing w:after="0" w:line="240" w:lineRule="auto"/>
              <w:jc w:val="center"/>
              <w:textAlignment w:val="bottom"/>
              <w:rPr>
                <w:rFonts w:ascii="Arial" w:eastAsia="Times New Roman" w:hAnsi="Arial" w:cs="Arial"/>
                <w:sz w:val="36"/>
                <w:szCs w:val="36"/>
              </w:rPr>
            </w:pPr>
            <w:r>
              <w:rPr>
                <w:rFonts w:ascii="Arial" w:eastAsia="Times New Roman" w:hAnsi="Arial" w:cs="Arial"/>
                <w:color w:val="000000"/>
                <w:kern w:val="24"/>
                <w:sz w:val="28"/>
                <w:szCs w:val="28"/>
              </w:rPr>
              <w:t xml:space="preserve">$ </w:t>
            </w:r>
            <w:r w:rsidR="00066144" w:rsidRPr="00066144">
              <w:rPr>
                <w:rFonts w:ascii="Arial" w:eastAsia="Times New Roman" w:hAnsi="Arial" w:cs="Arial"/>
                <w:color w:val="000000"/>
                <w:kern w:val="24"/>
                <w:sz w:val="28"/>
                <w:szCs w:val="28"/>
              </w:rPr>
              <w:t>6,132.64</w:t>
            </w:r>
          </w:p>
        </w:tc>
        <w:tc>
          <w:tcPr>
            <w:tcW w:w="172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rsidR="00066144" w:rsidRPr="00066144" w:rsidRDefault="001B1AD4" w:rsidP="001B1AD4">
            <w:pPr>
              <w:spacing w:after="0" w:line="240" w:lineRule="auto"/>
              <w:jc w:val="center"/>
              <w:textAlignment w:val="bottom"/>
              <w:rPr>
                <w:rFonts w:ascii="Arial" w:eastAsia="Times New Roman" w:hAnsi="Arial" w:cs="Arial"/>
                <w:sz w:val="36"/>
                <w:szCs w:val="36"/>
              </w:rPr>
            </w:pPr>
            <w:r>
              <w:rPr>
                <w:rFonts w:ascii="Arial" w:eastAsia="Times New Roman" w:hAnsi="Arial" w:cs="Arial"/>
                <w:color w:val="000000"/>
                <w:kern w:val="24"/>
                <w:sz w:val="28"/>
                <w:szCs w:val="28"/>
              </w:rPr>
              <w:t xml:space="preserve">$ </w:t>
            </w:r>
            <w:r w:rsidR="00066144" w:rsidRPr="00066144">
              <w:rPr>
                <w:rFonts w:ascii="Arial" w:eastAsia="Times New Roman" w:hAnsi="Arial" w:cs="Arial"/>
                <w:color w:val="000000"/>
                <w:kern w:val="24"/>
                <w:sz w:val="28"/>
                <w:szCs w:val="28"/>
              </w:rPr>
              <w:t>10,282.24</w:t>
            </w:r>
          </w:p>
        </w:tc>
      </w:tr>
    </w:tbl>
    <w:p w:rsidR="00066144" w:rsidRDefault="00066144" w:rsidP="00066144">
      <w:pPr>
        <w:jc w:val="center"/>
        <w:rPr>
          <w:rFonts w:ascii="Arial" w:hAnsi="Arial" w:cs="Arial"/>
          <w:sz w:val="24"/>
        </w:rPr>
      </w:pPr>
    </w:p>
    <w:p w:rsidR="00F22C67" w:rsidRDefault="00066144" w:rsidP="00F22C67">
      <w:pPr>
        <w:jc w:val="center"/>
        <w:rPr>
          <w:rFonts w:ascii="Arial" w:hAnsi="Arial" w:cs="Arial"/>
          <w:sz w:val="24"/>
        </w:rPr>
      </w:pPr>
      <w:r w:rsidRPr="00066144">
        <w:rPr>
          <w:rFonts w:ascii="Arial" w:hAnsi="Arial" w:cs="Arial"/>
          <w:noProof/>
          <w:sz w:val="24"/>
        </w:rPr>
        <w:drawing>
          <wp:inline distT="0" distB="0" distL="0" distR="0" wp14:anchorId="605A606B" wp14:editId="0631DD8A">
            <wp:extent cx="3638550" cy="3971925"/>
            <wp:effectExtent l="0" t="0" r="19050" b="9525"/>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8C295A" w:rsidRDefault="008C295A" w:rsidP="00E244DB">
      <w:pPr>
        <w:jc w:val="both"/>
        <w:rPr>
          <w:rFonts w:ascii="Arial" w:hAnsi="Arial" w:cs="Arial"/>
          <w:sz w:val="24"/>
        </w:rPr>
      </w:pPr>
      <w:r w:rsidRPr="00E244DB">
        <w:rPr>
          <w:rFonts w:ascii="Arial" w:hAnsi="Arial" w:cs="Arial"/>
          <w:color w:val="FF0000"/>
          <w:sz w:val="24"/>
        </w:rPr>
        <w:t>No. De Contribuyentes</w:t>
      </w:r>
      <w:r w:rsidR="00801255" w:rsidRPr="00E244DB">
        <w:rPr>
          <w:rFonts w:ascii="Arial" w:hAnsi="Arial" w:cs="Arial"/>
          <w:color w:val="FF0000"/>
          <w:sz w:val="24"/>
        </w:rPr>
        <w:t xml:space="preserve"> beneficiados</w:t>
      </w:r>
      <w:r>
        <w:rPr>
          <w:rFonts w:ascii="Arial" w:hAnsi="Arial" w:cs="Arial"/>
          <w:sz w:val="24"/>
        </w:rPr>
        <w:t xml:space="preserve">; </w:t>
      </w:r>
      <w:r w:rsidR="00801255">
        <w:rPr>
          <w:rFonts w:ascii="Arial" w:hAnsi="Arial" w:cs="Arial"/>
          <w:sz w:val="24"/>
        </w:rPr>
        <w:t xml:space="preserve"> </w:t>
      </w:r>
      <w:r w:rsidR="00E244DB" w:rsidRPr="00E244DB">
        <w:rPr>
          <w:rFonts w:ascii="Batang" w:eastAsia="Batang" w:hAnsi="Batang" w:cs="Arial"/>
        </w:rPr>
        <w:t>458 Contribuyentes Beneficiados con el subsidio del servicio de Recolección Y disposición de desechos sólidos, de la zona urbana del Municipio de San Dionisio, áreas priorizadas por el cumulo de desechos producidos por las diferentes colonias que han aumentado el número de necesidades de la municipalidad, siendo este servicio vital, en la prevención de enfermedades y otros daños colaterales como la contaminación ambiental.</w:t>
      </w:r>
      <w:r w:rsidR="00E244DB">
        <w:rPr>
          <w:rFonts w:ascii="Arial" w:hAnsi="Arial" w:cs="Arial"/>
          <w:sz w:val="24"/>
        </w:rPr>
        <w:t xml:space="preserve"> </w:t>
      </w:r>
    </w:p>
    <w:p w:rsidR="00801255" w:rsidRDefault="00801255" w:rsidP="00801255">
      <w:pPr>
        <w:rPr>
          <w:rFonts w:ascii="Arial" w:hAnsi="Arial" w:cs="Arial"/>
          <w:sz w:val="24"/>
        </w:rPr>
      </w:pPr>
      <w:r w:rsidRPr="00E244DB">
        <w:rPr>
          <w:rFonts w:ascii="Arial" w:hAnsi="Arial" w:cs="Arial"/>
          <w:color w:val="FF0000"/>
          <w:sz w:val="24"/>
        </w:rPr>
        <w:lastRenderedPageBreak/>
        <w:t>Criterios de acceso ha dicho subsidio</w:t>
      </w:r>
      <w:r>
        <w:rPr>
          <w:rFonts w:ascii="Arial" w:hAnsi="Arial" w:cs="Arial"/>
          <w:sz w:val="24"/>
        </w:rPr>
        <w:t>:</w:t>
      </w:r>
      <w:r w:rsidR="00E244DB" w:rsidRPr="00E244DB">
        <w:rPr>
          <w:rFonts w:ascii="Batang" w:eastAsia="Batang" w:hAnsi="Batang" w:cs="Arial"/>
        </w:rPr>
        <w:t xml:space="preserve"> </w:t>
      </w:r>
      <w:r w:rsidR="00E244DB" w:rsidRPr="00917BAF">
        <w:rPr>
          <w:rFonts w:ascii="Batang" w:eastAsia="Batang" w:hAnsi="Batang" w:cs="Arial"/>
        </w:rPr>
        <w:t xml:space="preserve">Todo contribuyente que solicite el servicio de </w:t>
      </w:r>
      <w:r w:rsidR="00E244DB">
        <w:rPr>
          <w:rFonts w:ascii="Batang" w:eastAsia="Batang" w:hAnsi="Batang" w:cs="Arial"/>
        </w:rPr>
        <w:t xml:space="preserve">recolección o que la municipalidad amplié o priorice para llevar este servicios, </w:t>
      </w:r>
      <w:r w:rsidR="00E244DB" w:rsidRPr="00917BAF">
        <w:rPr>
          <w:rFonts w:ascii="Batang" w:eastAsia="Batang" w:hAnsi="Batang" w:cs="Arial"/>
        </w:rPr>
        <w:t xml:space="preserve"> es beneficiado directamente con este subsidio, en base a los bajos ingresos de la gran mayoría de la población</w:t>
      </w:r>
      <w:r w:rsidR="00E244DB">
        <w:rPr>
          <w:rFonts w:ascii="Batang" w:eastAsia="Batang" w:hAnsi="Batang" w:cs="Arial"/>
        </w:rPr>
        <w:t>, no sobre pasan los 120 dólares mensuales, y que sus ingresos son insuficientes, para el pago total de este importante servicio, que al final contribuye al ornato y salud de toda población.</w:t>
      </w:r>
    </w:p>
    <w:p w:rsidR="00801255" w:rsidRDefault="00801255" w:rsidP="00801255">
      <w:pPr>
        <w:rPr>
          <w:rFonts w:ascii="Arial" w:hAnsi="Arial" w:cs="Arial"/>
          <w:sz w:val="24"/>
        </w:rPr>
      </w:pPr>
    </w:p>
    <w:p w:rsidR="00E244DB" w:rsidRPr="00917BAF" w:rsidRDefault="00E244DB" w:rsidP="00E244DB">
      <w:pPr>
        <w:jc w:val="both"/>
        <w:rPr>
          <w:rFonts w:ascii="Batang" w:eastAsia="Batang" w:hAnsi="Batang" w:cs="Arial"/>
          <w:b/>
        </w:rPr>
      </w:pPr>
      <w:r w:rsidRPr="00917BAF">
        <w:rPr>
          <w:rFonts w:ascii="Batang" w:eastAsia="Batang" w:hAnsi="Batang" w:cs="Arial"/>
          <w:b/>
        </w:rPr>
        <w:t>Fuente de Información.</w:t>
      </w:r>
    </w:p>
    <w:p w:rsidR="00E244DB" w:rsidRPr="00917BAF" w:rsidRDefault="00E244DB" w:rsidP="00E244DB">
      <w:pPr>
        <w:jc w:val="both"/>
        <w:rPr>
          <w:rFonts w:ascii="Batang" w:eastAsia="Batang" w:hAnsi="Batang"/>
        </w:rPr>
      </w:pPr>
      <w:r>
        <w:rPr>
          <w:rFonts w:ascii="Batang" w:eastAsia="Batang" w:hAnsi="Batang" w:cs="Arial"/>
        </w:rPr>
        <w:t xml:space="preserve">Unidad Financiera, Contabilidad y Acceso a La Información Pública de la Alcaldía Municipal de San Dionisio.-  </w:t>
      </w:r>
    </w:p>
    <w:p w:rsidR="00F97775" w:rsidRPr="00E47E4D" w:rsidRDefault="00F97775" w:rsidP="00F97775">
      <w:pPr>
        <w:jc w:val="both"/>
        <w:rPr>
          <w:rFonts w:ascii="Batang" w:eastAsia="Batang" w:hAnsi="Batang"/>
          <w:b/>
        </w:rPr>
      </w:pPr>
      <w:r w:rsidRPr="00E47E4D">
        <w:rPr>
          <w:rFonts w:ascii="Batang" w:eastAsia="Batang" w:hAnsi="Batang" w:cs="Arial"/>
          <w:b/>
        </w:rPr>
        <w:t xml:space="preserve">Nota; cualquier ampliación de la información respecto a subsidio de servicios puede solicitarlo en oficina de acceso a la información de alcaldía San Dionisio.   </w:t>
      </w:r>
    </w:p>
    <w:p w:rsidR="00E244DB" w:rsidRDefault="00E244DB" w:rsidP="00801255">
      <w:pPr>
        <w:rPr>
          <w:rFonts w:ascii="Arial" w:hAnsi="Arial" w:cs="Arial"/>
          <w:sz w:val="24"/>
        </w:rPr>
      </w:pPr>
    </w:p>
    <w:p w:rsidR="00E244DB" w:rsidRDefault="00E244DB" w:rsidP="00801255">
      <w:pPr>
        <w:rPr>
          <w:rFonts w:ascii="Arial" w:hAnsi="Arial" w:cs="Arial"/>
          <w:sz w:val="24"/>
        </w:rPr>
      </w:pPr>
    </w:p>
    <w:p w:rsidR="00E244DB" w:rsidRDefault="00E244DB" w:rsidP="00801255">
      <w:pPr>
        <w:rPr>
          <w:rFonts w:ascii="Arial" w:hAnsi="Arial" w:cs="Arial"/>
          <w:sz w:val="24"/>
        </w:rPr>
      </w:pPr>
    </w:p>
    <w:p w:rsidR="00E244DB" w:rsidRDefault="00E244DB" w:rsidP="00801255">
      <w:pPr>
        <w:rPr>
          <w:rFonts w:ascii="Arial" w:hAnsi="Arial" w:cs="Arial"/>
          <w:sz w:val="24"/>
        </w:rPr>
      </w:pPr>
    </w:p>
    <w:p w:rsidR="00E244DB" w:rsidRDefault="00E244DB" w:rsidP="00801255">
      <w:pPr>
        <w:rPr>
          <w:rFonts w:ascii="Arial" w:hAnsi="Arial" w:cs="Arial"/>
          <w:sz w:val="24"/>
        </w:rPr>
      </w:pPr>
    </w:p>
    <w:p w:rsidR="00E244DB" w:rsidRDefault="00E244DB" w:rsidP="00801255">
      <w:pPr>
        <w:rPr>
          <w:rFonts w:ascii="Arial" w:hAnsi="Arial" w:cs="Arial"/>
          <w:sz w:val="24"/>
        </w:rPr>
      </w:pPr>
    </w:p>
    <w:p w:rsidR="00E244DB" w:rsidRDefault="00E244DB" w:rsidP="00801255">
      <w:pPr>
        <w:rPr>
          <w:rFonts w:ascii="Arial" w:hAnsi="Arial" w:cs="Arial"/>
          <w:sz w:val="24"/>
        </w:rPr>
      </w:pPr>
    </w:p>
    <w:p w:rsidR="008C295A" w:rsidRDefault="008C295A" w:rsidP="00F22C67">
      <w:pPr>
        <w:jc w:val="center"/>
        <w:rPr>
          <w:rFonts w:ascii="Arial" w:hAnsi="Arial" w:cs="Arial"/>
          <w:sz w:val="24"/>
        </w:rPr>
      </w:pPr>
    </w:p>
    <w:p w:rsidR="00917BAF" w:rsidRPr="00917BAF" w:rsidRDefault="00917BAF" w:rsidP="00F97775">
      <w:pPr>
        <w:rPr>
          <w:rFonts w:ascii="Batang" w:eastAsia="Batang" w:hAnsi="Batang"/>
        </w:rPr>
      </w:pPr>
      <w:r>
        <w:rPr>
          <w:rFonts w:ascii="Batang" w:eastAsia="Batang" w:hAnsi="Batang" w:cs="Arial"/>
        </w:rPr>
        <w:t xml:space="preserve"> </w:t>
      </w:r>
    </w:p>
    <w:sectPr w:rsidR="00917BAF" w:rsidRPr="00917BAF">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2C67" w:rsidRDefault="00F22C67" w:rsidP="00F22C67">
      <w:pPr>
        <w:spacing w:after="0" w:line="240" w:lineRule="auto"/>
      </w:pPr>
      <w:r>
        <w:separator/>
      </w:r>
    </w:p>
  </w:endnote>
  <w:endnote w:type="continuationSeparator" w:id="0">
    <w:p w:rsidR="00F22C67" w:rsidRDefault="00F22C67" w:rsidP="00F22C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2C67" w:rsidRDefault="00F22C67" w:rsidP="00F22C67">
      <w:pPr>
        <w:spacing w:after="0" w:line="240" w:lineRule="auto"/>
      </w:pPr>
      <w:r>
        <w:separator/>
      </w:r>
    </w:p>
  </w:footnote>
  <w:footnote w:type="continuationSeparator" w:id="0">
    <w:p w:rsidR="00F22C67" w:rsidRDefault="00F22C67" w:rsidP="00F22C6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22C67"/>
    <w:rsid w:val="00012251"/>
    <w:rsid w:val="00066144"/>
    <w:rsid w:val="001B1AD4"/>
    <w:rsid w:val="002A6A45"/>
    <w:rsid w:val="003F53F7"/>
    <w:rsid w:val="0070569C"/>
    <w:rsid w:val="00801255"/>
    <w:rsid w:val="0089650E"/>
    <w:rsid w:val="008C295A"/>
    <w:rsid w:val="009030D2"/>
    <w:rsid w:val="00917BAF"/>
    <w:rsid w:val="00A73090"/>
    <w:rsid w:val="00A87604"/>
    <w:rsid w:val="00D94600"/>
    <w:rsid w:val="00E244DB"/>
    <w:rsid w:val="00F22C67"/>
    <w:rsid w:val="00F97775"/>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2C67"/>
    <w:rPr>
      <w:rFonts w:eastAsiaTheme="minorEastAsia"/>
      <w:lang w:eastAsia="es-SV"/>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F22C67"/>
    <w:pPr>
      <w:spacing w:after="0" w:line="240" w:lineRule="auto"/>
    </w:pPr>
    <w:rPr>
      <w:rFonts w:eastAsiaTheme="minorEastAsia"/>
      <w:lang w:eastAsia="es-SV"/>
    </w:rPr>
  </w:style>
  <w:style w:type="paragraph" w:styleId="Textodeglobo">
    <w:name w:val="Balloon Text"/>
    <w:basedOn w:val="Normal"/>
    <w:link w:val="TextodegloboCar"/>
    <w:uiPriority w:val="99"/>
    <w:semiHidden/>
    <w:unhideWhenUsed/>
    <w:rsid w:val="00F22C6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22C67"/>
    <w:rPr>
      <w:rFonts w:ascii="Tahoma" w:eastAsiaTheme="minorEastAsia" w:hAnsi="Tahoma" w:cs="Tahoma"/>
      <w:sz w:val="16"/>
      <w:szCs w:val="16"/>
      <w:lang w:eastAsia="es-SV"/>
    </w:rPr>
  </w:style>
  <w:style w:type="paragraph" w:styleId="Encabezado">
    <w:name w:val="header"/>
    <w:basedOn w:val="Normal"/>
    <w:link w:val="EncabezadoCar"/>
    <w:uiPriority w:val="99"/>
    <w:unhideWhenUsed/>
    <w:rsid w:val="00F22C6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22C67"/>
    <w:rPr>
      <w:rFonts w:eastAsiaTheme="minorEastAsia"/>
      <w:lang w:eastAsia="es-SV"/>
    </w:rPr>
  </w:style>
  <w:style w:type="paragraph" w:styleId="Piedepgina">
    <w:name w:val="footer"/>
    <w:basedOn w:val="Normal"/>
    <w:link w:val="PiedepginaCar"/>
    <w:uiPriority w:val="99"/>
    <w:unhideWhenUsed/>
    <w:rsid w:val="00F22C6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22C67"/>
    <w:rPr>
      <w:rFonts w:eastAsiaTheme="minorEastAsia"/>
      <w:lang w:eastAsia="es-SV"/>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2C67"/>
    <w:rPr>
      <w:rFonts w:eastAsiaTheme="minorEastAsia"/>
      <w:lang w:eastAsia="es-SV"/>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F22C67"/>
    <w:pPr>
      <w:spacing w:after="0" w:line="240" w:lineRule="auto"/>
    </w:pPr>
    <w:rPr>
      <w:rFonts w:eastAsiaTheme="minorEastAsia"/>
      <w:lang w:eastAsia="es-SV"/>
    </w:rPr>
  </w:style>
  <w:style w:type="paragraph" w:styleId="Textodeglobo">
    <w:name w:val="Balloon Text"/>
    <w:basedOn w:val="Normal"/>
    <w:link w:val="TextodegloboCar"/>
    <w:uiPriority w:val="99"/>
    <w:semiHidden/>
    <w:unhideWhenUsed/>
    <w:rsid w:val="00F22C6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22C67"/>
    <w:rPr>
      <w:rFonts w:ascii="Tahoma" w:eastAsiaTheme="minorEastAsia" w:hAnsi="Tahoma" w:cs="Tahoma"/>
      <w:sz w:val="16"/>
      <w:szCs w:val="16"/>
      <w:lang w:eastAsia="es-SV"/>
    </w:rPr>
  </w:style>
  <w:style w:type="paragraph" w:styleId="Encabezado">
    <w:name w:val="header"/>
    <w:basedOn w:val="Normal"/>
    <w:link w:val="EncabezadoCar"/>
    <w:uiPriority w:val="99"/>
    <w:unhideWhenUsed/>
    <w:rsid w:val="00F22C6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22C67"/>
    <w:rPr>
      <w:rFonts w:eastAsiaTheme="minorEastAsia"/>
      <w:lang w:eastAsia="es-SV"/>
    </w:rPr>
  </w:style>
  <w:style w:type="paragraph" w:styleId="Piedepgina">
    <w:name w:val="footer"/>
    <w:basedOn w:val="Normal"/>
    <w:link w:val="PiedepginaCar"/>
    <w:uiPriority w:val="99"/>
    <w:unhideWhenUsed/>
    <w:rsid w:val="00F22C6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22C67"/>
    <w:rPr>
      <w:rFonts w:eastAsiaTheme="minorEastAsia"/>
      <w:lang w:eastAsia="es-S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2767043">
      <w:bodyDiv w:val="1"/>
      <w:marLeft w:val="0"/>
      <w:marRight w:val="0"/>
      <w:marTop w:val="0"/>
      <w:marBottom w:val="0"/>
      <w:divBdr>
        <w:top w:val="none" w:sz="0" w:space="0" w:color="auto"/>
        <w:left w:val="none" w:sz="0" w:space="0" w:color="auto"/>
        <w:bottom w:val="none" w:sz="0" w:space="0" w:color="auto"/>
        <w:right w:val="none" w:sz="0" w:space="0" w:color="auto"/>
      </w:divBdr>
    </w:div>
    <w:div w:id="475072812">
      <w:bodyDiv w:val="1"/>
      <w:marLeft w:val="0"/>
      <w:marRight w:val="0"/>
      <w:marTop w:val="0"/>
      <w:marBottom w:val="0"/>
      <w:divBdr>
        <w:top w:val="none" w:sz="0" w:space="0" w:color="auto"/>
        <w:left w:val="none" w:sz="0" w:space="0" w:color="auto"/>
        <w:bottom w:val="none" w:sz="0" w:space="0" w:color="auto"/>
        <w:right w:val="none" w:sz="0" w:space="0" w:color="auto"/>
      </w:divBdr>
    </w:div>
    <w:div w:id="1460757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3" Type="http://schemas.openxmlformats.org/officeDocument/2006/relationships/settings" Target="settings.xml"/><Relationship Id="rId7" Type="http://schemas.openxmlformats.org/officeDocument/2006/relationships/image" Target="media/image1.wmf"/><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chart" Target="charts/chart1.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35791404671538357"/>
          <c:y val="3.2019704433497539E-2"/>
        </c:manualLayout>
      </c:layout>
      <c:overlay val="0"/>
      <c:spPr>
        <a:noFill/>
        <a:ln w="25400">
          <a:noFill/>
        </a:ln>
      </c:spPr>
      <c:txPr>
        <a:bodyPr/>
        <a:lstStyle/>
        <a:p>
          <a:pPr>
            <a:defRPr sz="1125" b="0" i="0" u="none" strike="noStrike" baseline="0">
              <a:solidFill>
                <a:srgbClr val="000000"/>
              </a:solidFill>
              <a:latin typeface="Arial"/>
              <a:ea typeface="Arial"/>
              <a:cs typeface="Arial"/>
            </a:defRPr>
          </a:pPr>
          <a:endParaRPr lang="es-SV"/>
        </a:p>
      </c:txPr>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9.6936353269655561E-3"/>
          <c:y val="0.15832115995535145"/>
          <c:w val="0.99030636467303446"/>
          <c:h val="0.55780606140442313"/>
        </c:manualLayout>
      </c:layout>
      <c:pie3DChart>
        <c:varyColors val="1"/>
        <c:ser>
          <c:idx val="0"/>
          <c:order val="0"/>
          <c:tx>
            <c:strRef>
              <c:f>'2017'!$A$3</c:f>
              <c:strCache>
                <c:ptCount val="1"/>
                <c:pt idx="0">
                  <c:v>DESECHOS SOLIDOS</c:v>
                </c:pt>
              </c:strCache>
            </c:strRef>
          </c:tx>
          <c:spPr>
            <a:solidFill>
              <a:srgbClr val="9999FF"/>
            </a:solidFill>
            <a:ln w="12700">
              <a:solidFill>
                <a:srgbClr val="000000"/>
              </a:solidFill>
              <a:prstDash val="solid"/>
            </a:ln>
          </c:spPr>
          <c:explosion val="25"/>
          <c:dPt>
            <c:idx val="0"/>
            <c:bubble3D val="0"/>
            <c:spPr>
              <a:solidFill>
                <a:schemeClr val="accent1"/>
              </a:solidFill>
              <a:ln w="12700">
                <a:solidFill>
                  <a:srgbClr val="000000"/>
                </a:solidFill>
                <a:prstDash val="solid"/>
              </a:ln>
            </c:spPr>
          </c:dPt>
          <c:dPt>
            <c:idx val="1"/>
            <c:bubble3D val="0"/>
            <c:spPr>
              <a:solidFill>
                <a:schemeClr val="accent2"/>
              </a:solidFill>
              <a:ln w="12700">
                <a:solidFill>
                  <a:srgbClr val="000000"/>
                </a:solidFill>
                <a:prstDash val="solid"/>
              </a:ln>
            </c:spPr>
          </c:dPt>
          <c:dLbls>
            <c:numFmt formatCode="0%" sourceLinked="0"/>
            <c:spPr>
              <a:noFill/>
              <a:ln w="25400">
                <a:noFill/>
              </a:ln>
            </c:spPr>
            <c:txPr>
              <a:bodyPr wrap="square" lIns="38100" tIns="19050" rIns="38100" bIns="19050" anchor="ctr">
                <a:spAutoFit/>
              </a:bodyPr>
              <a:lstStyle/>
              <a:p>
                <a:pPr>
                  <a:defRPr sz="1125" b="0" i="0" u="none" strike="noStrike" baseline="0">
                    <a:solidFill>
                      <a:srgbClr val="000000"/>
                    </a:solidFill>
                    <a:latin typeface="Arial"/>
                    <a:ea typeface="Arial"/>
                    <a:cs typeface="Arial"/>
                  </a:defRPr>
                </a:pPr>
                <a:endParaRPr lang="es-SV"/>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'2017'!$B$2:$C$2</c:f>
              <c:strCache>
                <c:ptCount val="2"/>
                <c:pt idx="0">
                  <c:v>Contrib.</c:v>
                </c:pt>
                <c:pt idx="1">
                  <c:v>Acaldia</c:v>
                </c:pt>
              </c:strCache>
            </c:strRef>
          </c:cat>
          <c:val>
            <c:numRef>
              <c:f>'2017'!$B$3:$C$3</c:f>
              <c:numCache>
                <c:formatCode>#,##0.00</c:formatCode>
                <c:ptCount val="2"/>
                <c:pt idx="0">
                  <c:v>4149.6000000000004</c:v>
                </c:pt>
                <c:pt idx="1">
                  <c:v>6132.6399999999994</c:v>
                </c:pt>
              </c:numCache>
            </c:numRef>
          </c:val>
        </c:ser>
        <c:dLbls>
          <c:showLegendKey val="0"/>
          <c:showVal val="0"/>
          <c:showCatName val="0"/>
          <c:showSerName val="0"/>
          <c:showPercent val="1"/>
          <c:showBubbleSize val="0"/>
          <c:showLeaderLines val="1"/>
        </c:dLbls>
      </c:pie3DChart>
      <c:spPr>
        <a:noFill/>
        <a:ln w="25400">
          <a:noFill/>
        </a:ln>
      </c:spPr>
    </c:plotArea>
    <c:legend>
      <c:legendPos val="b"/>
      <c:layout>
        <c:manualLayout>
          <c:xMode val="edge"/>
          <c:yMode val="edge"/>
          <c:x val="0.26713623552124532"/>
          <c:y val="0.91318066048990421"/>
          <c:w val="0.52036019615236462"/>
          <c:h val="5.7304733460041633E-2"/>
        </c:manualLayout>
      </c:layout>
      <c:overlay val="0"/>
      <c:spPr>
        <a:solidFill>
          <a:srgbClr val="FFFFFF"/>
        </a:solidFill>
        <a:ln w="3175">
          <a:solidFill>
            <a:srgbClr val="000000"/>
          </a:solidFill>
          <a:prstDash val="solid"/>
        </a:ln>
      </c:spPr>
      <c:txPr>
        <a:bodyPr/>
        <a:lstStyle/>
        <a:p>
          <a:pPr>
            <a:defRPr sz="1035" b="0" i="0" u="none" strike="noStrike" baseline="0">
              <a:solidFill>
                <a:srgbClr val="000000"/>
              </a:solidFill>
              <a:latin typeface="Arial"/>
              <a:ea typeface="Arial"/>
              <a:cs typeface="Arial"/>
            </a:defRPr>
          </a:pPr>
          <a:endParaRPr lang="es-SV"/>
        </a:p>
      </c:txPr>
    </c:legend>
    <c:plotVisOnly val="1"/>
    <c:dispBlanksAs val="zero"/>
    <c:showDLblsOverMax val="0"/>
  </c:chart>
  <c:spPr>
    <a:noFill/>
    <a:ln w="3175">
      <a:solidFill>
        <a:srgbClr val="000000"/>
      </a:solidFill>
      <a:prstDash val="solid"/>
    </a:ln>
  </c:spPr>
  <c:txPr>
    <a:bodyPr/>
    <a:lstStyle/>
    <a:p>
      <a:pPr>
        <a:defRPr sz="1125" b="0" i="0" u="none" strike="noStrike" baseline="0">
          <a:solidFill>
            <a:srgbClr val="000000"/>
          </a:solidFill>
          <a:latin typeface="Arial"/>
          <a:ea typeface="Arial"/>
          <a:cs typeface="Arial"/>
        </a:defRPr>
      </a:pPr>
      <a:endParaRPr lang="es-SV"/>
    </a:p>
  </c:txPr>
  <c:externalData r:id="rId2">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89</TotalTime>
  <Pages>2</Pages>
  <Words>222</Words>
  <Characters>1221</Characters>
  <Application>Microsoft Office Word</Application>
  <DocSecurity>0</DocSecurity>
  <Lines>10</Lines>
  <Paragraphs>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Rafael</dc:creator>
  <cp:lastModifiedBy>Rafael</cp:lastModifiedBy>
  <cp:revision>7</cp:revision>
  <cp:lastPrinted>2018-04-24T17:30:00Z</cp:lastPrinted>
  <dcterms:created xsi:type="dcterms:W3CDTF">2018-04-25T17:30:00Z</dcterms:created>
  <dcterms:modified xsi:type="dcterms:W3CDTF">2018-04-25T19:16:00Z</dcterms:modified>
</cp:coreProperties>
</file>