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44" w:rsidRDefault="00DE0944" w:rsidP="0082356F">
      <w:pPr>
        <w:pStyle w:val="Ttulo1"/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4000" cy="102024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ño carta PLAN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0" cy="1020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356F" w:rsidRPr="00B04250" w:rsidRDefault="0082356F" w:rsidP="0082356F">
      <w:pPr>
        <w:pStyle w:val="Ttulo1"/>
      </w:pPr>
      <w:r>
        <w:lastRenderedPageBreak/>
        <w:t>OFICINA DE INFORMACIÓN Y RESPUESTA (OIR)</w:t>
      </w:r>
    </w:p>
    <w:p w:rsidR="00B83CEF" w:rsidRDefault="00B83CEF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B83CEF" w:rsidRPr="00B83CEF" w:rsidRDefault="00030812" w:rsidP="008235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  <w:lang w:val="es-SV" w:eastAsia="es-SV"/>
        </w:rPr>
      </w:pPr>
      <w:r>
        <w:rPr>
          <w:rFonts w:ascii="Arial" w:hAnsi="Arial" w:cs="Arial"/>
          <w:b/>
          <w:color w:val="000000"/>
          <w:sz w:val="32"/>
          <w:szCs w:val="32"/>
          <w:lang w:val="es-SV" w:eastAsia="es-SV"/>
        </w:rPr>
        <w:t>Gestión de solicitudes</w:t>
      </w:r>
    </w:p>
    <w:p w:rsidR="00B83CEF" w:rsidRDefault="00B83CEF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82356F" w:rsidRDefault="0082356F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>Durant</w:t>
      </w:r>
      <w:r w:rsidR="008814E9">
        <w:rPr>
          <w:rFonts w:ascii="Arial" w:hAnsi="Arial" w:cs="Arial"/>
          <w:color w:val="000000"/>
          <w:lang w:val="es-SV" w:eastAsia="es-SV"/>
        </w:rPr>
        <w:t>e el periodo 2014-2015 la OIR consolidó su espacio de atención al público</w:t>
      </w:r>
      <w:r>
        <w:rPr>
          <w:rFonts w:ascii="Arial" w:hAnsi="Arial" w:cs="Arial"/>
          <w:color w:val="000000"/>
          <w:lang w:val="es-SV" w:eastAsia="es-SV"/>
        </w:rPr>
        <w:t xml:space="preserve"> </w:t>
      </w:r>
      <w:r w:rsidR="008814E9">
        <w:rPr>
          <w:rFonts w:ascii="Arial" w:hAnsi="Arial" w:cs="Arial"/>
          <w:color w:val="000000"/>
          <w:lang w:val="es-SV" w:eastAsia="es-SV"/>
        </w:rPr>
        <w:t xml:space="preserve">manteniendo un promedio significativo de solicitudes recibidas y atendidas. </w:t>
      </w:r>
    </w:p>
    <w:p w:rsidR="008814E9" w:rsidRDefault="008814E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8814E9" w:rsidRDefault="008814E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>Como se podrá observar en la gráfica, el total de solicitudes y orientaciones atendidas es de 2</w:t>
      </w:r>
      <w:r w:rsidR="001A06FE">
        <w:rPr>
          <w:rFonts w:ascii="Arial" w:hAnsi="Arial" w:cs="Arial"/>
          <w:color w:val="000000"/>
          <w:lang w:val="es-SV" w:eastAsia="es-SV"/>
        </w:rPr>
        <w:t>,</w:t>
      </w:r>
      <w:r>
        <w:rPr>
          <w:rFonts w:ascii="Arial" w:hAnsi="Arial" w:cs="Arial"/>
          <w:color w:val="000000"/>
          <w:lang w:val="es-SV" w:eastAsia="es-SV"/>
        </w:rPr>
        <w:t xml:space="preserve">305, </w:t>
      </w:r>
      <w:r w:rsidR="00031CF4">
        <w:rPr>
          <w:rFonts w:ascii="Arial" w:hAnsi="Arial" w:cs="Arial"/>
          <w:color w:val="000000"/>
          <w:lang w:val="es-SV" w:eastAsia="es-SV"/>
        </w:rPr>
        <w:t>de las cuales el 65.8</w:t>
      </w:r>
      <w:r>
        <w:rPr>
          <w:rFonts w:ascii="Arial" w:hAnsi="Arial" w:cs="Arial"/>
          <w:color w:val="000000"/>
          <w:lang w:val="es-SV" w:eastAsia="es-SV"/>
        </w:rPr>
        <w:t xml:space="preserve"> % corresponde a inform</w:t>
      </w:r>
      <w:r w:rsidR="00031CF4">
        <w:rPr>
          <w:rFonts w:ascii="Arial" w:hAnsi="Arial" w:cs="Arial"/>
          <w:color w:val="000000"/>
          <w:lang w:val="es-SV" w:eastAsia="es-SV"/>
        </w:rPr>
        <w:t xml:space="preserve">ación oficiosa el 26.9 </w:t>
      </w:r>
      <w:r>
        <w:rPr>
          <w:rFonts w:ascii="Arial" w:hAnsi="Arial" w:cs="Arial"/>
          <w:color w:val="000000"/>
          <w:lang w:val="es-SV" w:eastAsia="es-SV"/>
        </w:rPr>
        <w:t>% a información pública</w:t>
      </w:r>
      <w:r w:rsidR="000F369E">
        <w:rPr>
          <w:rFonts w:ascii="Arial" w:hAnsi="Arial" w:cs="Arial"/>
          <w:color w:val="000000"/>
          <w:lang w:val="es-SV" w:eastAsia="es-SV"/>
        </w:rPr>
        <w:t>,</w:t>
      </w:r>
      <w:r w:rsidR="00031CF4">
        <w:rPr>
          <w:rFonts w:ascii="Arial" w:hAnsi="Arial" w:cs="Arial"/>
          <w:color w:val="000000"/>
          <w:lang w:val="es-SV" w:eastAsia="es-SV"/>
        </w:rPr>
        <w:t xml:space="preserve"> el </w:t>
      </w:r>
      <w:r w:rsidR="001A06FE">
        <w:rPr>
          <w:rFonts w:ascii="Arial" w:hAnsi="Arial" w:cs="Arial"/>
          <w:color w:val="000000"/>
          <w:lang w:val="es-SV" w:eastAsia="es-SV"/>
        </w:rPr>
        <w:t xml:space="preserve">7.3% restante fue información </w:t>
      </w:r>
      <w:proofErr w:type="spellStart"/>
      <w:r w:rsidR="001A06FE">
        <w:rPr>
          <w:rFonts w:ascii="Arial" w:hAnsi="Arial" w:cs="Arial"/>
          <w:color w:val="000000"/>
          <w:lang w:val="es-SV" w:eastAsia="es-SV"/>
        </w:rPr>
        <w:t>redireccionada</w:t>
      </w:r>
      <w:proofErr w:type="spellEnd"/>
      <w:r w:rsidR="001A06FE">
        <w:rPr>
          <w:rFonts w:ascii="Arial" w:hAnsi="Arial" w:cs="Arial"/>
          <w:color w:val="000000"/>
          <w:lang w:val="es-SV" w:eastAsia="es-SV"/>
        </w:rPr>
        <w:t xml:space="preserve"> por no ser competencia </w:t>
      </w:r>
      <w:r w:rsidR="004C7BFB">
        <w:rPr>
          <w:rFonts w:ascii="Arial" w:hAnsi="Arial" w:cs="Arial"/>
          <w:color w:val="000000"/>
          <w:lang w:val="es-SV" w:eastAsia="es-SV"/>
        </w:rPr>
        <w:t>del MARN y/o desestimada</w:t>
      </w:r>
      <w:r w:rsidR="00770DF2">
        <w:rPr>
          <w:rStyle w:val="Refdenotaalpie"/>
          <w:rFonts w:ascii="Arial" w:hAnsi="Arial" w:cs="Arial"/>
          <w:color w:val="000000"/>
          <w:lang w:val="es-SV" w:eastAsia="es-SV"/>
        </w:rPr>
        <w:footnoteReference w:id="1"/>
      </w: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 w:rsidRPr="00232D79">
        <w:rPr>
          <w:rFonts w:ascii="Arial" w:hAnsi="Arial" w:cs="Arial"/>
          <w:noProof/>
          <w:color w:val="000000"/>
          <w:lang w:val="es-SV" w:eastAsia="es-SV"/>
        </w:rPr>
        <w:drawing>
          <wp:inline distT="0" distB="0" distL="0" distR="0">
            <wp:extent cx="5612130" cy="3058795"/>
            <wp:effectExtent l="19050" t="0" r="26670" b="82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232D79" w:rsidRDefault="00232D7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031CF4" w:rsidRDefault="00031CF4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C50968" w:rsidRDefault="008814E9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 xml:space="preserve">Dentro de la información solicitada, </w:t>
      </w:r>
      <w:r w:rsidR="00C50968">
        <w:rPr>
          <w:rFonts w:ascii="Arial" w:hAnsi="Arial" w:cs="Arial"/>
          <w:color w:val="000000"/>
          <w:lang w:val="es-SV" w:eastAsia="es-SV"/>
        </w:rPr>
        <w:t>el tema más requerido es el compet</w:t>
      </w:r>
      <w:r w:rsidR="001A06FE">
        <w:rPr>
          <w:rFonts w:ascii="Arial" w:hAnsi="Arial" w:cs="Arial"/>
          <w:color w:val="000000"/>
          <w:lang w:val="es-SV" w:eastAsia="es-SV"/>
        </w:rPr>
        <w:t>e a permisos ambientales, un segundo lugar lo ocupa</w:t>
      </w:r>
      <w:r w:rsidR="00D94CC1">
        <w:rPr>
          <w:rFonts w:ascii="Arial" w:hAnsi="Arial" w:cs="Arial"/>
          <w:color w:val="000000"/>
          <w:lang w:val="es-SV" w:eastAsia="es-SV"/>
        </w:rPr>
        <w:t>n</w:t>
      </w:r>
      <w:r w:rsidR="00C50968">
        <w:rPr>
          <w:rFonts w:ascii="Arial" w:hAnsi="Arial" w:cs="Arial"/>
          <w:color w:val="000000"/>
          <w:lang w:val="es-SV" w:eastAsia="es-SV"/>
        </w:rPr>
        <w:t xml:space="preserve"> </w:t>
      </w:r>
      <w:r w:rsidR="00D94CC1">
        <w:rPr>
          <w:rFonts w:ascii="Arial" w:hAnsi="Arial" w:cs="Arial"/>
          <w:color w:val="000000"/>
          <w:lang w:val="es-SV" w:eastAsia="es-SV"/>
        </w:rPr>
        <w:t>los temas de áreas naturales protegidas y vida silvestre seguido por temas presupuestarios–adquisiciones y contrataciones;  en menor cantidad, los relacionados a saneamiento ambiental</w:t>
      </w:r>
      <w:r w:rsidR="00C50968">
        <w:rPr>
          <w:rFonts w:ascii="Arial" w:hAnsi="Arial" w:cs="Arial"/>
          <w:color w:val="000000"/>
          <w:lang w:val="es-SV" w:eastAsia="es-SV"/>
        </w:rPr>
        <w:t>.</w:t>
      </w:r>
      <w:r w:rsidR="00D94CC1">
        <w:rPr>
          <w:rFonts w:ascii="Arial" w:hAnsi="Arial" w:cs="Arial"/>
          <w:color w:val="000000"/>
          <w:lang w:val="es-SV" w:eastAsia="es-SV"/>
        </w:rPr>
        <w:t xml:space="preserve">  Con la vigencia y funcionalidad del Tribunal Ambiental de San Salvador, se ha disparado considerablemente la demanda de la legislación ambiental.</w:t>
      </w:r>
    </w:p>
    <w:p w:rsidR="00D94CC1" w:rsidRDefault="00D94CC1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C50968" w:rsidRDefault="00C50968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C50968" w:rsidRDefault="00C50968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>Otro dato interesante a considerar el que la p</w:t>
      </w:r>
      <w:r w:rsidR="00031CF4">
        <w:rPr>
          <w:rFonts w:ascii="Arial" w:hAnsi="Arial" w:cs="Arial"/>
          <w:color w:val="000000"/>
          <w:lang w:val="es-SV" w:eastAsia="es-SV"/>
        </w:rPr>
        <w:t>oblación solicitante es</w:t>
      </w:r>
      <w:r w:rsidR="00D94CC1">
        <w:rPr>
          <w:rFonts w:ascii="Arial" w:hAnsi="Arial" w:cs="Arial"/>
          <w:color w:val="000000"/>
          <w:lang w:val="es-SV" w:eastAsia="es-SV"/>
        </w:rPr>
        <w:t xml:space="preserve"> en un</w:t>
      </w:r>
      <w:r w:rsidR="00031CF4">
        <w:rPr>
          <w:rFonts w:ascii="Arial" w:hAnsi="Arial" w:cs="Arial"/>
          <w:color w:val="000000"/>
          <w:lang w:val="es-SV" w:eastAsia="es-SV"/>
        </w:rPr>
        <w:t xml:space="preserve"> 54.1</w:t>
      </w:r>
      <w:r>
        <w:rPr>
          <w:rFonts w:ascii="Arial" w:hAnsi="Arial" w:cs="Arial"/>
          <w:color w:val="000000"/>
          <w:lang w:val="es-SV" w:eastAsia="es-SV"/>
        </w:rPr>
        <w:t>% hombres y un 45</w:t>
      </w:r>
      <w:r w:rsidR="00031CF4">
        <w:rPr>
          <w:rFonts w:ascii="Arial" w:hAnsi="Arial" w:cs="Arial"/>
          <w:color w:val="000000"/>
          <w:lang w:val="es-SV" w:eastAsia="es-SV"/>
        </w:rPr>
        <w:t xml:space="preserve">.9 </w:t>
      </w:r>
      <w:r>
        <w:rPr>
          <w:rFonts w:ascii="Arial" w:hAnsi="Arial" w:cs="Arial"/>
          <w:color w:val="000000"/>
          <w:lang w:val="es-SV" w:eastAsia="es-SV"/>
        </w:rPr>
        <w:t xml:space="preserve">% </w:t>
      </w:r>
      <w:r w:rsidR="00D94CC1">
        <w:rPr>
          <w:rFonts w:ascii="Arial" w:hAnsi="Arial" w:cs="Arial"/>
          <w:color w:val="000000"/>
          <w:lang w:val="es-SV" w:eastAsia="es-SV"/>
        </w:rPr>
        <w:t xml:space="preserve">son </w:t>
      </w:r>
      <w:r w:rsidR="004A5981">
        <w:rPr>
          <w:rFonts w:ascii="Arial" w:hAnsi="Arial" w:cs="Arial"/>
          <w:color w:val="000000"/>
          <w:lang w:val="es-SV" w:eastAsia="es-SV"/>
        </w:rPr>
        <w:t>mujeres; en cuanto a la edad, el 38% oscila entre 3</w:t>
      </w:r>
      <w:r w:rsidR="00D94CC1">
        <w:rPr>
          <w:rFonts w:ascii="Arial" w:hAnsi="Arial" w:cs="Arial"/>
          <w:color w:val="000000"/>
          <w:lang w:val="es-SV" w:eastAsia="es-SV"/>
        </w:rPr>
        <w:t>1</w:t>
      </w:r>
      <w:r w:rsidR="004A5981">
        <w:rPr>
          <w:rFonts w:ascii="Arial" w:hAnsi="Arial" w:cs="Arial"/>
          <w:color w:val="000000"/>
          <w:lang w:val="es-SV" w:eastAsia="es-SV"/>
        </w:rPr>
        <w:t xml:space="preserve"> y 50 años </w:t>
      </w:r>
      <w:r>
        <w:rPr>
          <w:rFonts w:ascii="Arial" w:hAnsi="Arial" w:cs="Arial"/>
          <w:color w:val="000000"/>
          <w:lang w:val="es-SV" w:eastAsia="es-SV"/>
        </w:rPr>
        <w:t xml:space="preserve"> </w:t>
      </w:r>
      <w:r w:rsidR="004A5981">
        <w:rPr>
          <w:rFonts w:ascii="Arial" w:hAnsi="Arial" w:cs="Arial"/>
          <w:color w:val="000000"/>
          <w:lang w:val="es-SV" w:eastAsia="es-SV"/>
        </w:rPr>
        <w:t>y un 47.3% entre 18 y 30 años; de ellos el mayor porcentaje (el 98.9%) es de personas naturales, asimismo, San Salvador y La Libertad son los Departamen</w:t>
      </w:r>
      <w:r w:rsidR="00D94CC1">
        <w:rPr>
          <w:rFonts w:ascii="Arial" w:hAnsi="Arial" w:cs="Arial"/>
          <w:color w:val="000000"/>
          <w:lang w:val="es-SV" w:eastAsia="es-SV"/>
        </w:rPr>
        <w:t>tos que más solicitudes interponen</w:t>
      </w:r>
      <w:r w:rsidR="004A5981">
        <w:rPr>
          <w:rFonts w:ascii="Arial" w:hAnsi="Arial" w:cs="Arial"/>
          <w:color w:val="000000"/>
          <w:lang w:val="es-SV" w:eastAsia="es-SV"/>
        </w:rPr>
        <w:t>.</w:t>
      </w:r>
    </w:p>
    <w:p w:rsidR="004A5981" w:rsidRDefault="004A5981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4A5981" w:rsidRDefault="004A5981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 xml:space="preserve">En cuanto al tiempo de respuesta, el MARN mantiene un promedio </w:t>
      </w:r>
      <w:r w:rsidR="00B83CEF">
        <w:rPr>
          <w:rFonts w:ascii="Arial" w:hAnsi="Arial" w:cs="Arial"/>
          <w:color w:val="000000"/>
          <w:lang w:val="es-SV" w:eastAsia="es-SV"/>
        </w:rPr>
        <w:t>de 6.5 días para la entrega de información a los solicitantes.</w:t>
      </w:r>
    </w:p>
    <w:p w:rsidR="004A5981" w:rsidRDefault="004A5981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C50968" w:rsidRDefault="004A5981" w:rsidP="0082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noProof/>
          <w:color w:val="000000"/>
          <w:lang w:val="es-SV" w:eastAsia="es-SV"/>
        </w:rPr>
        <w:drawing>
          <wp:inline distT="0" distB="0" distL="0" distR="0">
            <wp:extent cx="5612130" cy="3061162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6F" w:rsidRDefault="00B83CEF" w:rsidP="008235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noProof/>
          <w:color w:val="000000"/>
          <w:lang w:val="es-SV" w:eastAsia="es-SV"/>
        </w:rPr>
        <w:lastRenderedPageBreak/>
        <w:drawing>
          <wp:inline distT="0" distB="0" distL="0" distR="0">
            <wp:extent cx="4810125" cy="4086225"/>
            <wp:effectExtent l="19050" t="0" r="9525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28" cy="408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497">
        <w:rPr>
          <w:rFonts w:ascii="Arial" w:hAnsi="Arial" w:cs="Arial"/>
          <w:b/>
          <w:noProof/>
          <w:color w:val="000000"/>
          <w:lang w:val="es-SV" w:eastAsia="es-SV"/>
        </w:rPr>
        <w:drawing>
          <wp:inline distT="0" distB="0" distL="0" distR="0">
            <wp:extent cx="4762500" cy="404812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lastRenderedPageBreak/>
        <w:t>Un indicador importante para el trabajo de la OIR lo constituye la opinión del público usuario el cual queda registrado mes a mes</w:t>
      </w:r>
      <w:r w:rsidR="00B83CEF">
        <w:rPr>
          <w:rFonts w:ascii="Arial" w:hAnsi="Arial" w:cs="Arial"/>
          <w:color w:val="000000"/>
          <w:lang w:val="es-SV" w:eastAsia="es-SV"/>
        </w:rPr>
        <w:t>,</w:t>
      </w:r>
      <w:r>
        <w:rPr>
          <w:rFonts w:ascii="Arial" w:hAnsi="Arial" w:cs="Arial"/>
          <w:color w:val="000000"/>
          <w:lang w:val="es-SV" w:eastAsia="es-SV"/>
        </w:rPr>
        <w:t xml:space="preserve"> en la encuesta </w:t>
      </w:r>
      <w:r w:rsidR="00D94CC1">
        <w:rPr>
          <w:rFonts w:ascii="Arial" w:hAnsi="Arial" w:cs="Arial"/>
          <w:color w:val="000000"/>
          <w:lang w:val="es-SV" w:eastAsia="es-SV"/>
        </w:rPr>
        <w:t xml:space="preserve">rápida </w:t>
      </w:r>
      <w:r>
        <w:rPr>
          <w:rFonts w:ascii="Arial" w:hAnsi="Arial" w:cs="Arial"/>
          <w:color w:val="000000"/>
          <w:lang w:val="es-SV" w:eastAsia="es-SV"/>
        </w:rPr>
        <w:t xml:space="preserve">en línea que algunos solicitantes </w:t>
      </w:r>
      <w:r w:rsidR="00D94CC1">
        <w:rPr>
          <w:rFonts w:ascii="Arial" w:hAnsi="Arial" w:cs="Arial"/>
          <w:color w:val="000000"/>
          <w:lang w:val="es-SV" w:eastAsia="es-SV"/>
        </w:rPr>
        <w:t xml:space="preserve">llenan </w:t>
      </w:r>
      <w:r>
        <w:rPr>
          <w:rFonts w:ascii="Arial" w:hAnsi="Arial" w:cs="Arial"/>
          <w:color w:val="000000"/>
          <w:lang w:val="es-SV" w:eastAsia="es-SV"/>
        </w:rPr>
        <w:t>cuando reciben la información.</w:t>
      </w: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  <w:r w:rsidRPr="00524497">
        <w:rPr>
          <w:rFonts w:ascii="Arial" w:hAnsi="Arial" w:cs="Arial"/>
          <w:noProof/>
          <w:color w:val="000000"/>
          <w:lang w:val="es-SV" w:eastAsia="es-SV"/>
        </w:rPr>
        <w:drawing>
          <wp:inline distT="0" distB="0" distL="0" distR="0">
            <wp:extent cx="4133850" cy="2962275"/>
            <wp:effectExtent l="19050" t="0" r="19050" b="0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524497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SV"/>
        </w:rPr>
      </w:pPr>
    </w:p>
    <w:p w:rsidR="00524497" w:rsidRPr="00B83CEF" w:rsidRDefault="00524497" w:rsidP="005244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SV" w:eastAsia="es-SV"/>
        </w:rPr>
      </w:pPr>
    </w:p>
    <w:p w:rsidR="00030812" w:rsidRPr="00030812" w:rsidRDefault="00B83CEF" w:rsidP="0082356F">
      <w:pPr>
        <w:pStyle w:val="Default"/>
        <w:spacing w:before="100" w:after="100" w:line="240" w:lineRule="atLeast"/>
        <w:jc w:val="both"/>
        <w:rPr>
          <w:b/>
          <w:sz w:val="32"/>
          <w:szCs w:val="32"/>
        </w:rPr>
      </w:pPr>
      <w:r w:rsidRPr="00B83CEF">
        <w:rPr>
          <w:b/>
          <w:sz w:val="32"/>
          <w:szCs w:val="32"/>
        </w:rPr>
        <w:t>Transparencia</w:t>
      </w:r>
    </w:p>
    <w:p w:rsidR="00463900" w:rsidRDefault="00B83CEF" w:rsidP="0082356F">
      <w:pPr>
        <w:pStyle w:val="Default"/>
        <w:spacing w:before="100" w:after="100" w:line="240" w:lineRule="atLeast"/>
        <w:jc w:val="both"/>
      </w:pPr>
      <w:r>
        <w:t>Desde la entrada en vigencia de la Ley de Acceso a la Información Pública (LAIP), esta Cartera de Estado ha mantenid</w:t>
      </w:r>
      <w:r w:rsidR="00463900">
        <w:t>o una política de transparencia en el entendido que toda a información que el MARN genera y produce</w:t>
      </w:r>
      <w:r w:rsidR="002C4248">
        <w:t>,</w:t>
      </w:r>
      <w:r w:rsidR="00463900">
        <w:t xml:space="preserve"> está al servicio de la población en general</w:t>
      </w:r>
      <w:r w:rsidR="00D94CC1">
        <w:t xml:space="preserve"> no restringiendo o reservando información.</w:t>
      </w:r>
    </w:p>
    <w:p w:rsidR="0082356F" w:rsidRDefault="00463900" w:rsidP="0082356F">
      <w:pPr>
        <w:pStyle w:val="Default"/>
        <w:spacing w:before="100" w:after="100" w:line="240" w:lineRule="atLeast"/>
        <w:jc w:val="both"/>
      </w:pPr>
      <w:r>
        <w:t>En cuanto a la rendición</w:t>
      </w:r>
      <w:r w:rsidR="00D94CC1">
        <w:t xml:space="preserve"> de cuentas como un mecanismo de transparencia, </w:t>
      </w:r>
      <w:r w:rsidR="00AF5BFF">
        <w:t xml:space="preserve"> las acciones realizadas en el marco</w:t>
      </w:r>
      <w:r>
        <w:t xml:space="preserve"> de la Ley de Medio Ambiente y </w:t>
      </w:r>
      <w:r w:rsidR="00AF5BFF">
        <w:t>el plan operativo institucional</w:t>
      </w:r>
      <w:r>
        <w:t xml:space="preserve">, en agosto 2014,  se realizaron 2 jornadas </w:t>
      </w:r>
      <w:r w:rsidR="00AF5BFF">
        <w:t xml:space="preserve">de rendición de cuentas </w:t>
      </w:r>
      <w:r>
        <w:t xml:space="preserve">con una amplia participación </w:t>
      </w:r>
      <w:r w:rsidR="00AF5BFF">
        <w:t xml:space="preserve">y </w:t>
      </w:r>
      <w:r>
        <w:t xml:space="preserve">cuya característica </w:t>
      </w:r>
      <w:r w:rsidR="00AF5BFF">
        <w:t xml:space="preserve">principal </w:t>
      </w:r>
      <w:r>
        <w:t xml:space="preserve">fue la “redición de cuentas sectorial”, </w:t>
      </w:r>
      <w:r w:rsidR="00AF5BFF">
        <w:t xml:space="preserve">innovación que convirtió al MARN  en </w:t>
      </w:r>
      <w:r>
        <w:t xml:space="preserve">la primera institución del Estado </w:t>
      </w:r>
      <w:r w:rsidR="00AF5BFF">
        <w:t xml:space="preserve">en llevar a cabo este tipo de formato.  Dicho formato </w:t>
      </w:r>
      <w:r>
        <w:t xml:space="preserve"> permite y da espacio a una redición de cuentas</w:t>
      </w:r>
      <w:r w:rsidR="00AF5BFF">
        <w:t xml:space="preserve"> más profunda y específica en el cual </w:t>
      </w:r>
      <w:r>
        <w:t>los diferentes sectores</w:t>
      </w:r>
      <w:r w:rsidR="00AF5BFF">
        <w:t>,</w:t>
      </w:r>
      <w:r>
        <w:t xml:space="preserve"> interesados e involucrados</w:t>
      </w:r>
      <w:r w:rsidR="00AF5BFF">
        <w:t>,  amplían su nivel de participación directa.</w:t>
      </w:r>
    </w:p>
    <w:p w:rsidR="0082356F" w:rsidRDefault="0082356F" w:rsidP="0082356F">
      <w:pPr>
        <w:pStyle w:val="Default"/>
        <w:spacing w:before="100" w:after="100" w:line="240" w:lineRule="atLeast"/>
        <w:jc w:val="both"/>
      </w:pPr>
    </w:p>
    <w:p w:rsidR="0080704B" w:rsidRDefault="0080704B" w:rsidP="0082356F">
      <w:pPr>
        <w:pStyle w:val="Default"/>
        <w:spacing w:before="100" w:after="100" w:line="240" w:lineRule="atLeast"/>
        <w:jc w:val="both"/>
      </w:pPr>
    </w:p>
    <w:p w:rsidR="0080704B" w:rsidRDefault="0080704B" w:rsidP="0082356F">
      <w:pPr>
        <w:pStyle w:val="Default"/>
        <w:spacing w:before="100" w:after="100" w:line="240" w:lineRule="atLeast"/>
        <w:jc w:val="both"/>
      </w:pPr>
      <w:r>
        <w:rPr>
          <w:noProof/>
        </w:rPr>
        <w:lastRenderedPageBreak/>
        <w:drawing>
          <wp:inline distT="0" distB="0" distL="0" distR="0">
            <wp:extent cx="2809875" cy="1872592"/>
            <wp:effectExtent l="19050" t="0" r="9525" b="0"/>
            <wp:docPr id="23" name="Imagen 14" descr="C:\Users\msandoval\AppData\Local\Microsoft\Windows\Temporary Internet Files\Content.Outlook\LNEP0S8J\IMG_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andoval\AppData\Local\Microsoft\Windows\Temporary Internet Files\Content.Outlook\LNEP0S8J\IMG_33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83" cy="187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0BE">
        <w:rPr>
          <w:noProof/>
        </w:rPr>
        <w:drawing>
          <wp:inline distT="0" distB="0" distL="0" distR="0">
            <wp:extent cx="2457450" cy="1866900"/>
            <wp:effectExtent l="19050" t="0" r="0" b="0"/>
            <wp:docPr id="27" name="Imagen 15" descr="C:\Users\msandoval\AppData\Local\Microsoft\Windows\Temporary Internet Files\Content.Outlook\LNEP0S8J\IMG_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andoval\AppData\Local\Microsoft\Windows\Temporary Internet Files\Content.Outlook\LNEP0S8J\IMG_97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89" cy="18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E" w:rsidRPr="00C460BE" w:rsidRDefault="00C460BE" w:rsidP="00C460BE">
      <w:pPr>
        <w:pStyle w:val="Default"/>
        <w:spacing w:before="100" w:after="100" w:line="240" w:lineRule="atLeast"/>
        <w:jc w:val="center"/>
        <w:rPr>
          <w:sz w:val="20"/>
          <w:szCs w:val="20"/>
        </w:rPr>
      </w:pPr>
      <w:r w:rsidRPr="00C460BE">
        <w:rPr>
          <w:sz w:val="20"/>
          <w:szCs w:val="20"/>
        </w:rPr>
        <w:t>Titular</w:t>
      </w:r>
      <w:r>
        <w:rPr>
          <w:sz w:val="20"/>
          <w:szCs w:val="20"/>
        </w:rPr>
        <w:t xml:space="preserve">es del MARN junto a su cuerpo de </w:t>
      </w:r>
      <w:r w:rsidRPr="00C460BE">
        <w:rPr>
          <w:sz w:val="20"/>
          <w:szCs w:val="20"/>
        </w:rPr>
        <w:t>Dirección rinden cuentas a la ciudadanía</w:t>
      </w:r>
    </w:p>
    <w:p w:rsidR="0082356F" w:rsidRDefault="0082356F" w:rsidP="00C460BE">
      <w:pPr>
        <w:pStyle w:val="Default"/>
        <w:spacing w:before="100" w:after="100" w:line="240" w:lineRule="atLeast"/>
        <w:jc w:val="center"/>
      </w:pPr>
    </w:p>
    <w:p w:rsidR="002919D3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  <w:r>
        <w:rPr>
          <w:noProof/>
          <w:lang w:val="es-SV" w:eastAsia="es-SV"/>
        </w:rPr>
        <w:drawing>
          <wp:inline distT="0" distB="0" distL="0" distR="0">
            <wp:extent cx="2724150" cy="1815461"/>
            <wp:effectExtent l="19050" t="0" r="0" b="0"/>
            <wp:docPr id="25" name="Imagen 13" descr="C:\Users\msandoval\AppData\Local\Microsoft\Windows\Temporary Internet Files\Content.Outlook\LNEP0S8J\IMG_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andoval\AppData\Local\Microsoft\Windows\Temporary Internet Files\Content.Outlook\LNEP0S8J\IMG_29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94" cy="181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B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s-SV" w:eastAsia="es-SV"/>
        </w:rPr>
        <w:drawing>
          <wp:inline distT="0" distB="0" distL="0" distR="0">
            <wp:extent cx="2614336" cy="1742278"/>
            <wp:effectExtent l="19050" t="0" r="0" b="0"/>
            <wp:docPr id="28" name="Imagen 16" descr="C:\Users\msandoval\AppData\Local\Microsoft\Windows\Temporary Internet Files\Content.Outlook\LNEP0S8J\IMG_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andoval\AppData\Local\Microsoft\Windows\Temporary Internet Files\Content.Outlook\LNEP0S8J\IMG_29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86" cy="17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  <w:proofErr w:type="spellStart"/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  <w:t>Púb</w:t>
      </w:r>
      <w:proofErr w:type="spellEnd"/>
    </w:p>
    <w:p w:rsidR="00C460BE" w:rsidRDefault="00C460B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SV"/>
        </w:rPr>
      </w:pPr>
    </w:p>
    <w:p w:rsidR="00C460BE" w:rsidRPr="00C460BE" w:rsidRDefault="00C460BE" w:rsidP="00C460BE">
      <w:pPr>
        <w:pStyle w:val="Default"/>
        <w:spacing w:before="100" w:after="10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Público asistente se registra y </w:t>
      </w:r>
      <w:proofErr w:type="spellStart"/>
      <w:r>
        <w:rPr>
          <w:sz w:val="20"/>
          <w:szCs w:val="20"/>
        </w:rPr>
        <w:t>accesa</w:t>
      </w:r>
      <w:proofErr w:type="spellEnd"/>
      <w:r w:rsidR="001C0A16">
        <w:rPr>
          <w:sz w:val="20"/>
          <w:szCs w:val="20"/>
        </w:rPr>
        <w:t xml:space="preserve"> a materiales informativos producidos por </w:t>
      </w:r>
      <w:r>
        <w:rPr>
          <w:sz w:val="20"/>
          <w:szCs w:val="20"/>
        </w:rPr>
        <w:t>el MARN</w:t>
      </w:r>
    </w:p>
    <w:p w:rsidR="00030812" w:rsidRDefault="00030812">
      <w:pPr>
        <w:rPr>
          <w:lang w:val="es-SV"/>
        </w:rPr>
      </w:pPr>
    </w:p>
    <w:p w:rsidR="00030812" w:rsidRPr="00C87B72" w:rsidRDefault="00030812" w:rsidP="00030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febrero 2015, la Ministra de Medio Ambiente, el </w:t>
      </w:r>
      <w:r>
        <w:rPr>
          <w:rFonts w:ascii="Arial" w:eastAsia="Arial Unicode MS" w:hAnsi="Arial" w:cs="Arial"/>
        </w:rPr>
        <w:t>Secretario de Participación Ciudadana, Transparencia y Anticorrupción (</w:t>
      </w:r>
      <w:r w:rsidR="00AF5BFF">
        <w:rPr>
          <w:rFonts w:ascii="Arial" w:hAnsi="Arial" w:cs="Arial"/>
        </w:rPr>
        <w:t xml:space="preserve">SPCTA) y </w:t>
      </w:r>
      <w:r>
        <w:rPr>
          <w:rFonts w:ascii="Arial" w:eastAsia="Arial Unicode MS" w:hAnsi="Arial" w:cs="Arial"/>
        </w:rPr>
        <w:t xml:space="preserve">la Fundación de Estudios para la Aplicación del Derecho (FESPAD), firmaron un convenio bajo </w:t>
      </w:r>
      <w:r w:rsidR="00AF5BFF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el </w:t>
      </w:r>
      <w:r w:rsidRPr="00C87B72">
        <w:rPr>
          <w:rFonts w:ascii="Arial" w:hAnsi="Arial" w:cs="Arial"/>
        </w:rPr>
        <w:t xml:space="preserve">proceso de </w:t>
      </w:r>
      <w:r>
        <w:rPr>
          <w:rFonts w:ascii="Arial" w:hAnsi="Arial" w:cs="Arial"/>
        </w:rPr>
        <w:t>evaluación a</w:t>
      </w:r>
      <w:r w:rsidRPr="00C87B72">
        <w:rPr>
          <w:rFonts w:ascii="Arial" w:hAnsi="Arial" w:cs="Arial"/>
        </w:rPr>
        <w:t xml:space="preserve">mbiental que realiza el </w:t>
      </w:r>
      <w:r>
        <w:rPr>
          <w:rFonts w:ascii="Arial" w:hAnsi="Arial" w:cs="Arial"/>
        </w:rPr>
        <w:t xml:space="preserve">MARN </w:t>
      </w:r>
      <w:r w:rsidRPr="00C87B72">
        <w:rPr>
          <w:rFonts w:ascii="Arial" w:hAnsi="Arial" w:cs="Arial"/>
        </w:rPr>
        <w:t>será  sometido a un estudio de transparencia institucional.</w:t>
      </w:r>
    </w:p>
    <w:p w:rsidR="00030812" w:rsidRPr="00F9530B" w:rsidRDefault="00030812" w:rsidP="00030812">
      <w:pPr>
        <w:pStyle w:val="TextBody"/>
        <w:spacing w:after="0" w:line="240" w:lineRule="auto"/>
        <w:jc w:val="both"/>
        <w:rPr>
          <w:rFonts w:ascii="Arial" w:eastAsia="Arial Unicode MS" w:hAnsi="Arial" w:cs="Arial"/>
        </w:rPr>
      </w:pPr>
    </w:p>
    <w:p w:rsidR="004A7764" w:rsidRDefault="00030812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El estudio sobre transparencia institucional se realizará en </w:t>
      </w:r>
      <w:r>
        <w:rPr>
          <w:rFonts w:ascii="Arial" w:hAnsi="Arial" w:cs="Arial"/>
        </w:rPr>
        <w:t>las Direcciones Generales de Evaluación y Cumplimiento Ambiental y Atención Ciudadana y Municipal, con lo que se busca generar recomendaciones para el fortalecimiento institucional y determinar formas de cooperación entre las instituciones.</w:t>
      </w:r>
    </w:p>
    <w:p w:rsidR="004A7764" w:rsidRDefault="004A7764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232D79" w:rsidRDefault="004A7764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s-SV" w:eastAsia="es-SV" w:bidi="ar-SA"/>
        </w:rPr>
        <w:lastRenderedPageBreak/>
        <w:drawing>
          <wp:inline distT="0" distB="0" distL="0" distR="0">
            <wp:extent cx="2625670" cy="1970022"/>
            <wp:effectExtent l="19050" t="0" r="3230" b="0"/>
            <wp:docPr id="4" name="Imagen 2" descr="C:\Users\msandoval\AppData\Local\Microsoft\Windows\Temporary Internet Files\Content.Word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andoval\AppData\Local\Microsoft\Windows\Temporary Internet Files\Content.Word\IMG_00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75" cy="197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SV" w:eastAsia="es-SV" w:bidi="ar-SA"/>
        </w:rPr>
        <w:drawing>
          <wp:inline distT="0" distB="0" distL="0" distR="0">
            <wp:extent cx="2628900" cy="1972445"/>
            <wp:effectExtent l="19050" t="0" r="0" b="0"/>
            <wp:docPr id="5" name="Imagen 5" descr="C:\Users\msandoval\AppData\Local\Microsoft\Windows\Temporary Internet Files\Content.Outlook\LNEP0S8J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ndoval\AppData\Local\Microsoft\Windows\Temporary Internet Files\Content.Outlook\LNEP0S8J\IMG_00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50" cy="197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79" w:rsidRDefault="00232D79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4A7764" w:rsidRDefault="004A7764" w:rsidP="004A7764">
      <w:pPr>
        <w:pStyle w:val="TextBod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 Convenio sobre transparencia en los procesos de evaluación ambiental en el MARN</w:t>
      </w:r>
    </w:p>
    <w:p w:rsidR="00232D79" w:rsidRDefault="00232D79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232D79" w:rsidRDefault="00232D79" w:rsidP="00030812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E459B9" w:rsidRPr="00174791" w:rsidRDefault="00E459B9" w:rsidP="00030812">
      <w:pPr>
        <w:pStyle w:val="TextBody"/>
        <w:spacing w:after="0" w:line="240" w:lineRule="auto"/>
        <w:jc w:val="both"/>
        <w:rPr>
          <w:rFonts w:ascii="Arial" w:hAnsi="Arial" w:cs="Arial"/>
          <w:b/>
        </w:rPr>
      </w:pPr>
      <w:r w:rsidRPr="00174791">
        <w:rPr>
          <w:rFonts w:ascii="Arial" w:hAnsi="Arial" w:cs="Arial"/>
          <w:b/>
        </w:rPr>
        <w:t xml:space="preserve">Participación y seguimiento Principio 10 </w:t>
      </w:r>
    </w:p>
    <w:p w:rsidR="00030812" w:rsidRDefault="00030812">
      <w:pPr>
        <w:rPr>
          <w:lang w:val="es-SV"/>
        </w:rPr>
      </w:pPr>
    </w:p>
    <w:p w:rsidR="00EA0E5E" w:rsidRDefault="00EA0E5E" w:rsidP="00EA0E5E">
      <w:pPr>
        <w:jc w:val="both"/>
        <w:rPr>
          <w:rFonts w:ascii="Arial" w:hAnsi="Arial" w:cs="Arial"/>
        </w:rPr>
      </w:pPr>
      <w:r w:rsidRPr="00EA0E5E">
        <w:rPr>
          <w:rFonts w:ascii="Arial" w:hAnsi="Arial" w:cs="Arial"/>
        </w:rPr>
        <w:t>En febrero de 2014, e</w:t>
      </w:r>
      <w:r w:rsidR="00097BB5">
        <w:rPr>
          <w:rFonts w:ascii="Arial" w:hAnsi="Arial" w:cs="Arial"/>
        </w:rPr>
        <w:t xml:space="preserve">l Gobierno de El Salvador se </w:t>
      </w:r>
      <w:proofErr w:type="spellStart"/>
      <w:r w:rsidR="00097BB5">
        <w:rPr>
          <w:rFonts w:ascii="Arial" w:hAnsi="Arial" w:cs="Arial"/>
        </w:rPr>
        <w:t>adh</w:t>
      </w:r>
      <w:r w:rsidRPr="00EA0E5E">
        <w:rPr>
          <w:rFonts w:ascii="Arial" w:hAnsi="Arial" w:cs="Arial"/>
        </w:rPr>
        <w:t>erió</w:t>
      </w:r>
      <w:proofErr w:type="spellEnd"/>
      <w:r w:rsidRPr="00EA0E5E">
        <w:rPr>
          <w:rFonts w:ascii="Arial" w:hAnsi="Arial" w:cs="Arial"/>
        </w:rPr>
        <w:t xml:space="preserve"> oficialmente a la Declaración sobre la aplicación del Principio 10 de la Declaración de Río sobre el</w:t>
      </w:r>
      <w:r w:rsidR="00174791">
        <w:rPr>
          <w:rFonts w:ascii="Arial" w:hAnsi="Arial" w:cs="Arial"/>
        </w:rPr>
        <w:t xml:space="preserve"> Medio Ambiente y el Desarrollo.</w:t>
      </w:r>
    </w:p>
    <w:p w:rsidR="00EA0E5E" w:rsidRDefault="00097BB5" w:rsidP="00EA0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MARN, como entidad competente y designado por Cancillería, </w:t>
      </w:r>
      <w:r w:rsidR="00EA0E5E">
        <w:rPr>
          <w:rFonts w:ascii="Arial" w:hAnsi="Arial" w:cs="Arial"/>
        </w:rPr>
        <w:t xml:space="preserve">participó en la Cuarta </w:t>
      </w:r>
      <w:r w:rsidR="00EA0E5E" w:rsidRPr="00EA0E5E">
        <w:rPr>
          <w:rFonts w:ascii="Arial" w:hAnsi="Arial" w:cs="Arial"/>
        </w:rPr>
        <w:t>reunión de puntos focales</w:t>
      </w:r>
      <w:r w:rsidR="00EA0E5E">
        <w:rPr>
          <w:rFonts w:ascii="Arial" w:hAnsi="Arial" w:cs="Arial"/>
        </w:rPr>
        <w:t xml:space="preserve"> realizada en Santiago de Chile </w:t>
      </w:r>
      <w:r>
        <w:rPr>
          <w:rFonts w:ascii="Arial" w:hAnsi="Arial" w:cs="Arial"/>
        </w:rPr>
        <w:t>en donde se brindó</w:t>
      </w:r>
      <w:r w:rsidR="00EA0E5E">
        <w:rPr>
          <w:rFonts w:ascii="Arial" w:hAnsi="Arial" w:cs="Arial"/>
        </w:rPr>
        <w:t xml:space="preserve"> un informe sobre los avances </w:t>
      </w:r>
      <w:r w:rsidR="00174791">
        <w:rPr>
          <w:rFonts w:ascii="Arial" w:hAnsi="Arial" w:cs="Arial"/>
        </w:rPr>
        <w:t>obtenidos en el marco de los derechos de acceso a la información, participación y justicia en asuntos ambientales.</w:t>
      </w:r>
    </w:p>
    <w:p w:rsidR="00C939E1" w:rsidRDefault="00C939E1" w:rsidP="00EA0E5E">
      <w:pPr>
        <w:jc w:val="both"/>
        <w:rPr>
          <w:rFonts w:ascii="Arial" w:hAnsi="Arial" w:cs="Arial"/>
        </w:rPr>
      </w:pPr>
    </w:p>
    <w:p w:rsidR="00097BB5" w:rsidRDefault="00097BB5" w:rsidP="00EA0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776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C939E1">
        <w:rPr>
          <w:noProof/>
          <w:color w:val="000000"/>
          <w:lang w:val="es-SV" w:eastAsia="es-SV"/>
        </w:rPr>
        <w:drawing>
          <wp:inline distT="0" distB="0" distL="0" distR="0">
            <wp:extent cx="4478368" cy="2966918"/>
            <wp:effectExtent l="19050" t="0" r="0" b="0"/>
            <wp:docPr id="2" name="Imagen 1" descr="http://www.cepal.org/dmaah/noticias/noticias/1/53801/Foto_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pal.org/dmaah/noticias/noticias/1/53801/Foto_grup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69" cy="29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4" w:rsidRDefault="004A7764" w:rsidP="00097BB5">
      <w:pPr>
        <w:jc w:val="center"/>
        <w:rPr>
          <w:rFonts w:ascii="Arial" w:hAnsi="Arial" w:cs="Arial"/>
        </w:rPr>
      </w:pPr>
    </w:p>
    <w:p w:rsidR="00EA0E5E" w:rsidRPr="00EA0E5E" w:rsidRDefault="00097BB5" w:rsidP="00097B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Enlaces de los 20 países signatarios del Principio 10, Santiago de Chile, Noviembre 2014</w:t>
      </w:r>
    </w:p>
    <w:p w:rsidR="00EA0E5E" w:rsidRPr="00EA0E5E" w:rsidRDefault="00EA0E5E">
      <w:pPr>
        <w:rPr>
          <w:rFonts w:ascii="Arial" w:hAnsi="Arial" w:cs="Arial"/>
        </w:rPr>
      </w:pPr>
    </w:p>
    <w:p w:rsidR="00E459B9" w:rsidRPr="00C460BE" w:rsidRDefault="00E459B9">
      <w:pPr>
        <w:rPr>
          <w:lang w:val="es-SV"/>
        </w:rPr>
      </w:pPr>
    </w:p>
    <w:sectPr w:rsidR="00E459B9" w:rsidRPr="00C460BE" w:rsidSect="00864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0D" w:rsidRDefault="00607B0D" w:rsidP="004C7BFB">
      <w:r>
        <w:separator/>
      </w:r>
    </w:p>
  </w:endnote>
  <w:endnote w:type="continuationSeparator" w:id="0">
    <w:p w:rsidR="00607B0D" w:rsidRDefault="00607B0D" w:rsidP="004C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0D" w:rsidRDefault="00607B0D" w:rsidP="004C7BFB">
      <w:r>
        <w:separator/>
      </w:r>
    </w:p>
  </w:footnote>
  <w:footnote w:type="continuationSeparator" w:id="0">
    <w:p w:rsidR="00607B0D" w:rsidRDefault="00607B0D" w:rsidP="004C7BFB">
      <w:r>
        <w:continuationSeparator/>
      </w:r>
    </w:p>
  </w:footnote>
  <w:footnote w:id="1">
    <w:p w:rsidR="00770DF2" w:rsidRPr="00770DF2" w:rsidRDefault="00770DF2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SV"/>
        </w:rPr>
        <w:t>Solicitudes de información  que al ser</w:t>
      </w:r>
      <w:r w:rsidR="00D94CC1">
        <w:rPr>
          <w:lang w:val="es-SV"/>
        </w:rPr>
        <w:t xml:space="preserve"> notificada</w:t>
      </w:r>
      <w:r>
        <w:rPr>
          <w:lang w:val="es-SV"/>
        </w:rPr>
        <w:t xml:space="preserve">s </w:t>
      </w:r>
      <w:r w:rsidR="00D94CC1">
        <w:rPr>
          <w:lang w:val="es-SV"/>
        </w:rPr>
        <w:t xml:space="preserve"> para entrega no son retiradas </w:t>
      </w:r>
      <w:r>
        <w:rPr>
          <w:lang w:val="es-SV"/>
        </w:rPr>
        <w:t>y/o solicitudes de entrevistas de estudiantes y periodistas</w:t>
      </w:r>
      <w:r w:rsidR="00D94CC1">
        <w:rPr>
          <w:lang w:val="es-SV"/>
        </w:rPr>
        <w:t xml:space="preserve">, </w:t>
      </w:r>
      <w:r>
        <w:rPr>
          <w:lang w:val="es-SV"/>
        </w:rPr>
        <w:t>que al ser programadas no</w:t>
      </w:r>
      <w:r w:rsidR="00D94CC1">
        <w:rPr>
          <w:lang w:val="es-SV"/>
        </w:rPr>
        <w:t xml:space="preserve"> se presentan o las cancelan.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DA3"/>
    <w:multiLevelType w:val="hybridMultilevel"/>
    <w:tmpl w:val="1BBC7C8A"/>
    <w:lvl w:ilvl="0" w:tplc="4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145"/>
    <w:multiLevelType w:val="hybridMultilevel"/>
    <w:tmpl w:val="2E12B0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E69"/>
    <w:multiLevelType w:val="hybridMultilevel"/>
    <w:tmpl w:val="64C42904"/>
    <w:lvl w:ilvl="0" w:tplc="4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7E3C96"/>
    <w:multiLevelType w:val="hybridMultilevel"/>
    <w:tmpl w:val="BDD6474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34EEA"/>
    <w:multiLevelType w:val="hybridMultilevel"/>
    <w:tmpl w:val="AD08BC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6F"/>
    <w:rsid w:val="00030812"/>
    <w:rsid w:val="00031CF4"/>
    <w:rsid w:val="00097BB5"/>
    <w:rsid w:val="000F369E"/>
    <w:rsid w:val="00174791"/>
    <w:rsid w:val="001A06FE"/>
    <w:rsid w:val="001C0A16"/>
    <w:rsid w:val="00232D79"/>
    <w:rsid w:val="002919D3"/>
    <w:rsid w:val="002A07D2"/>
    <w:rsid w:val="002B5A54"/>
    <w:rsid w:val="002C4248"/>
    <w:rsid w:val="003B1A71"/>
    <w:rsid w:val="00450E68"/>
    <w:rsid w:val="00463900"/>
    <w:rsid w:val="00490A75"/>
    <w:rsid w:val="004A5981"/>
    <w:rsid w:val="004A7764"/>
    <w:rsid w:val="004B17CD"/>
    <w:rsid w:val="004C7BFB"/>
    <w:rsid w:val="00524497"/>
    <w:rsid w:val="00607B0D"/>
    <w:rsid w:val="00673271"/>
    <w:rsid w:val="006C33EC"/>
    <w:rsid w:val="00720D65"/>
    <w:rsid w:val="00770DF2"/>
    <w:rsid w:val="0080704B"/>
    <w:rsid w:val="0082356F"/>
    <w:rsid w:val="0086721A"/>
    <w:rsid w:val="008814E9"/>
    <w:rsid w:val="00900BB4"/>
    <w:rsid w:val="009B14C7"/>
    <w:rsid w:val="00A110F9"/>
    <w:rsid w:val="00AF5BFF"/>
    <w:rsid w:val="00B83CEF"/>
    <w:rsid w:val="00BD03D3"/>
    <w:rsid w:val="00C460BE"/>
    <w:rsid w:val="00C50968"/>
    <w:rsid w:val="00C939E1"/>
    <w:rsid w:val="00D94CC1"/>
    <w:rsid w:val="00DE0944"/>
    <w:rsid w:val="00E459B9"/>
    <w:rsid w:val="00EA0E5E"/>
    <w:rsid w:val="00EB1A49"/>
    <w:rsid w:val="00F6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82356F"/>
    <w:pPr>
      <w:keepNext/>
      <w:keepLines/>
      <w:pBdr>
        <w:bottom w:val="single" w:sz="4" w:space="10" w:color="365F91" w:themeColor="accent1" w:themeShade="BF"/>
      </w:pBdr>
      <w:spacing w:before="240"/>
      <w:ind w:left="708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56F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es-ES" w:eastAsia="ja-JP"/>
    </w:rPr>
  </w:style>
  <w:style w:type="paragraph" w:styleId="Prrafodelista">
    <w:name w:val="List Paragraph"/>
    <w:basedOn w:val="Normal"/>
    <w:uiPriority w:val="99"/>
    <w:qFormat/>
    <w:rsid w:val="0082356F"/>
    <w:pPr>
      <w:ind w:left="720"/>
      <w:contextualSpacing/>
    </w:pPr>
  </w:style>
  <w:style w:type="paragraph" w:customStyle="1" w:styleId="Default">
    <w:name w:val="Default"/>
    <w:basedOn w:val="Normal"/>
    <w:rsid w:val="0082356F"/>
    <w:pPr>
      <w:autoSpaceDE w:val="0"/>
      <w:autoSpaceDN w:val="0"/>
    </w:pPr>
    <w:rPr>
      <w:rFonts w:ascii="Arial" w:eastAsia="Calibri" w:hAnsi="Arial" w:cs="Arial"/>
      <w:color w:val="000000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82356F"/>
    <w:rPr>
      <w:rFonts w:ascii="Consolas" w:eastAsiaTheme="minorHAnsi" w:hAnsi="Consolas" w:cs="Consolas"/>
      <w:sz w:val="21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356F"/>
    <w:rPr>
      <w:rFonts w:ascii="Consolas" w:hAnsi="Consolas" w:cs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6F"/>
    <w:rPr>
      <w:rFonts w:ascii="Tahoma" w:eastAsia="MS Mincho" w:hAnsi="Tahoma" w:cs="Tahoma"/>
      <w:sz w:val="16"/>
      <w:szCs w:val="16"/>
      <w:lang w:val="es-ES" w:eastAsia="ja-JP"/>
    </w:rPr>
  </w:style>
  <w:style w:type="paragraph" w:customStyle="1" w:styleId="TextBody">
    <w:name w:val="Text Body"/>
    <w:basedOn w:val="Normal"/>
    <w:rsid w:val="00030812"/>
    <w:pPr>
      <w:widowControl w:val="0"/>
      <w:suppressAutoHyphens/>
      <w:spacing w:after="140" w:line="288" w:lineRule="auto"/>
    </w:pPr>
    <w:rPr>
      <w:rFonts w:ascii="Nimbus Roman No9 L" w:eastAsia="DejaVu Sans" w:hAnsi="Nimbus Roman No9 L" w:cs="DejaVu Sans"/>
      <w:color w:val="00000A"/>
      <w:kern w:val="1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BFB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4C7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FB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770D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0DF2"/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770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4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sandoval\Documents\LAIP\ESTADISTICAS\Estadisticas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NCUESTA%20RAPIDA%20OIR%20JUNIO2014-MAYO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32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Solicitudes</a:t>
            </a:r>
            <a:r>
              <a:rPr lang="en-US" sz="1600" baseline="0"/>
              <a:t> y consultas entre junio 2014 - mayo 2015</a:t>
            </a:r>
            <a:endParaRPr lang="en-US" sz="1600"/>
          </a:p>
        </c:rich>
      </c:tx>
    </c:title>
    <c:plotArea>
      <c:layout>
        <c:manualLayout>
          <c:layoutTarget val="inner"/>
          <c:xMode val="edge"/>
          <c:yMode val="edge"/>
          <c:x val="7.2481466132522904E-2"/>
          <c:y val="0.13114177241606301"/>
          <c:w val="0.9017875397154298"/>
          <c:h val="0.57044539157376017"/>
        </c:manualLayout>
      </c:layout>
      <c:barChart>
        <c:barDir val="col"/>
        <c:grouping val="clustered"/>
        <c:ser>
          <c:idx val="0"/>
          <c:order val="0"/>
          <c:tx>
            <c:strRef>
              <c:f>Hoja1!$E$6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Hoja1!$B$7:$B$18</c:f>
              <c:strCache>
                <c:ptCount val="12"/>
                <c:pt idx="0">
                  <c:v>Junio</c:v>
                </c:pt>
                <c:pt idx="1">
                  <c:v>Julio</c:v>
                </c:pt>
                <c:pt idx="2">
                  <c:v>Agosto</c:v>
                </c:pt>
                <c:pt idx="3">
                  <c:v>Setptiembre</c:v>
                </c:pt>
                <c:pt idx="4">
                  <c:v>Octubre</c:v>
                </c:pt>
                <c:pt idx="5">
                  <c:v>Noviembre</c:v>
                </c:pt>
                <c:pt idx="6">
                  <c:v>Diciembre</c:v>
                </c:pt>
                <c:pt idx="7">
                  <c:v>Enero</c:v>
                </c:pt>
                <c:pt idx="8">
                  <c:v>Febrero</c:v>
                </c:pt>
                <c:pt idx="9">
                  <c:v>Marzo</c:v>
                </c:pt>
                <c:pt idx="10">
                  <c:v>Abril</c:v>
                </c:pt>
                <c:pt idx="11">
                  <c:v>Mayo</c:v>
                </c:pt>
              </c:strCache>
            </c:strRef>
          </c:cat>
          <c:val>
            <c:numRef>
              <c:f>Hoja1!$E$7:$E$18</c:f>
              <c:numCache>
                <c:formatCode>General</c:formatCode>
                <c:ptCount val="12"/>
                <c:pt idx="0">
                  <c:v>158</c:v>
                </c:pt>
                <c:pt idx="1">
                  <c:v>165</c:v>
                </c:pt>
                <c:pt idx="2">
                  <c:v>197</c:v>
                </c:pt>
                <c:pt idx="3">
                  <c:v>213</c:v>
                </c:pt>
                <c:pt idx="4">
                  <c:v>248</c:v>
                </c:pt>
                <c:pt idx="5">
                  <c:v>202</c:v>
                </c:pt>
                <c:pt idx="6">
                  <c:v>186</c:v>
                </c:pt>
                <c:pt idx="7">
                  <c:v>172</c:v>
                </c:pt>
                <c:pt idx="8">
                  <c:v>181</c:v>
                </c:pt>
                <c:pt idx="9">
                  <c:v>191</c:v>
                </c:pt>
                <c:pt idx="10">
                  <c:v>184</c:v>
                </c:pt>
                <c:pt idx="11">
                  <c:v>208</c:v>
                </c:pt>
              </c:numCache>
            </c:numRef>
          </c:val>
        </c:ser>
        <c:axId val="142770176"/>
        <c:axId val="142771712"/>
      </c:barChart>
      <c:catAx>
        <c:axId val="142770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s-SV"/>
          </a:p>
        </c:txPr>
        <c:crossAx val="142771712"/>
        <c:crosses val="autoZero"/>
        <c:auto val="1"/>
        <c:lblAlgn val="ctr"/>
        <c:lblOffset val="100"/>
      </c:catAx>
      <c:valAx>
        <c:axId val="1427717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s-SV"/>
          </a:p>
        </c:txPr>
        <c:crossAx val="14277017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/>
            </a:pPr>
            <a:r>
              <a:rPr lang="es-SV" sz="1200">
                <a:latin typeface="Arial Narrow" pitchFamily="34" charset="0"/>
              </a:rPr>
              <a:t>RESULTADOS ENCUESTA RAPIDA MARN-OIR (JUNIO 2014 A MAYO 2015)</a:t>
            </a:r>
          </a:p>
        </c:rich>
      </c:tx>
      <c:layout>
        <c:manualLayout>
          <c:xMode val="edge"/>
          <c:yMode val="edge"/>
          <c:x val="0.11403993855606798"/>
          <c:y val="3.8585209003215513E-2"/>
        </c:manualLayout>
      </c:layout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11479613435398"/>
          <c:y val="0.20360051147452696"/>
          <c:w val="0.74735803185892102"/>
          <c:h val="0.61444801714898445"/>
        </c:manualLayout>
      </c:layout>
      <c:bar3DChart>
        <c:barDir val="col"/>
        <c:grouping val="clustered"/>
        <c:ser>
          <c:idx val="0"/>
          <c:order val="0"/>
          <c:tx>
            <c:strRef>
              <c:f>GRAFICA!$D$3</c:f>
              <c:strCache>
                <c:ptCount val="1"/>
                <c:pt idx="0">
                  <c:v>SI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GRAFICA!$B$4:$C$6</c:f>
              <c:strCache>
                <c:ptCount val="3"/>
                <c:pt idx="0">
                  <c:v>1-  Informacion solicitada entregada</c:v>
                </c:pt>
                <c:pt idx="1">
                  <c:v>2- Tiempo Informacion</c:v>
                </c:pt>
                <c:pt idx="2">
                  <c:v>3- Atencion Satisfactoria</c:v>
                </c:pt>
              </c:strCache>
            </c:strRef>
          </c:cat>
          <c:val>
            <c:numRef>
              <c:f>GRAFICA!$D$4:$D$6</c:f>
              <c:numCache>
                <c:formatCode>General</c:formatCode>
                <c:ptCount val="3"/>
                <c:pt idx="0">
                  <c:v>68</c:v>
                </c:pt>
                <c:pt idx="1">
                  <c:v>69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GRAFICA!$E$3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GRAFICA!$B$4:$C$6</c:f>
              <c:strCache>
                <c:ptCount val="3"/>
                <c:pt idx="0">
                  <c:v>1-  Informacion solicitada entregada</c:v>
                </c:pt>
                <c:pt idx="1">
                  <c:v>2- Tiempo Informacion</c:v>
                </c:pt>
                <c:pt idx="2">
                  <c:v>3- Atencion Satisfactoria</c:v>
                </c:pt>
              </c:strCache>
            </c:strRef>
          </c:cat>
          <c:val>
            <c:numRef>
              <c:f>GRAFICA!$E$4:$E$6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hape val="cone"/>
        <c:axId val="98949760"/>
        <c:axId val="139129216"/>
        <c:axId val="0"/>
      </c:bar3DChart>
      <c:catAx>
        <c:axId val="98949760"/>
        <c:scaling>
          <c:orientation val="minMax"/>
        </c:scaling>
        <c:axPos val="b"/>
        <c:numFmt formatCode="General" sourceLinked="1"/>
        <c:majorTickMark val="none"/>
        <c:tickLblPos val="nextTo"/>
        <c:crossAx val="139129216"/>
        <c:crosses val="autoZero"/>
        <c:auto val="1"/>
        <c:lblAlgn val="ctr"/>
        <c:lblOffset val="100"/>
      </c:catAx>
      <c:valAx>
        <c:axId val="139129216"/>
        <c:scaling>
          <c:orientation val="minMax"/>
        </c:scaling>
        <c:axPos val="l"/>
        <c:numFmt formatCode="General" sourceLinked="1"/>
        <c:tickLblPos val="nextTo"/>
        <c:crossAx val="989497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s-SV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s-SV"/>
          </a:p>
        </c:txPr>
      </c:legendEntry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0.29667</cdr:x>
      <cdr:y>0.88991</cdr:y>
    </cdr:from>
    <cdr:to>
      <cdr:x>0.77333</cdr:x>
      <cdr:y>0.96942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695450" y="2771776"/>
          <a:ext cx="27241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1100" b="1" u="sng"/>
            <a:t>Total de consultas y solicitudes = 2,305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7627-027C-437F-91D4-E8EDAC8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msandoval</dc:creator>
  <cp:lastModifiedBy>saguilar</cp:lastModifiedBy>
  <cp:revision>2</cp:revision>
  <dcterms:created xsi:type="dcterms:W3CDTF">2015-11-12T21:14:00Z</dcterms:created>
  <dcterms:modified xsi:type="dcterms:W3CDTF">2015-11-12T21:14:00Z</dcterms:modified>
</cp:coreProperties>
</file>