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F8" w:rsidRDefault="006934F8" w:rsidP="004B3654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0</wp:posOffset>
            </wp:positionV>
            <wp:extent cx="1123950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hrough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4F8" w:rsidRDefault="006934F8" w:rsidP="004B3654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</w:p>
    <w:p w:rsidR="006934F8" w:rsidRDefault="006934F8" w:rsidP="003B6D96">
      <w:pPr>
        <w:tabs>
          <w:tab w:val="left" w:pos="3000"/>
        </w:tabs>
        <w:spacing w:after="0" w:line="120" w:lineRule="atLeast"/>
        <w:ind w:left="-426"/>
        <w:jc w:val="center"/>
        <w:rPr>
          <w:rFonts w:ascii="Bookman Old Style" w:hAnsi="Bookman Old Style"/>
          <w:b/>
        </w:rPr>
      </w:pPr>
    </w:p>
    <w:p w:rsidR="004B3654" w:rsidRPr="0084598A" w:rsidRDefault="004B3654" w:rsidP="003B6D96">
      <w:pPr>
        <w:tabs>
          <w:tab w:val="left" w:pos="3000"/>
        </w:tabs>
        <w:spacing w:after="0" w:line="120" w:lineRule="atLeast"/>
        <w:ind w:left="-426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UNIDAD DE ACCESO A LA INFORMACIÓN PÚBLICA.</w:t>
      </w:r>
    </w:p>
    <w:p w:rsidR="004B3654" w:rsidRPr="0084598A" w:rsidRDefault="004B3654" w:rsidP="003B6D96">
      <w:pPr>
        <w:tabs>
          <w:tab w:val="left" w:pos="2475"/>
          <w:tab w:val="left" w:pos="3000"/>
          <w:tab w:val="center" w:pos="5040"/>
        </w:tabs>
        <w:spacing w:after="0" w:line="120" w:lineRule="atLeast"/>
        <w:ind w:left="-426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Resolución de Entrega de Información.</w:t>
      </w:r>
    </w:p>
    <w:p w:rsidR="004B3654" w:rsidRPr="0084598A" w:rsidRDefault="00AD100A" w:rsidP="003B6D96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-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UAIP-MITUR No.42</w:t>
      </w:r>
      <w:r w:rsidR="004B3654" w:rsidRPr="0084598A">
        <w:rPr>
          <w:rFonts w:ascii="Bookman Old Style" w:hAnsi="Bookman Old Style"/>
          <w:b/>
        </w:rPr>
        <w:t>/2017</w:t>
      </w:r>
    </w:p>
    <w:p w:rsidR="004B3654" w:rsidRDefault="004B3654" w:rsidP="003B6D96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ind w:left="-426"/>
        <w:jc w:val="center"/>
        <w:rPr>
          <w:b/>
          <w:sz w:val="24"/>
          <w:szCs w:val="24"/>
        </w:rPr>
      </w:pPr>
    </w:p>
    <w:p w:rsidR="004B3654" w:rsidRPr="0084598A" w:rsidRDefault="00AD100A" w:rsidP="003B6D96">
      <w:pPr>
        <w:tabs>
          <w:tab w:val="left" w:pos="1140"/>
        </w:tabs>
        <w:spacing w:after="0" w:line="120" w:lineRule="atLeast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rFonts w:ascii="Bookman Old Style" w:eastAsia="Arial Unicode MS" w:hAnsi="Bookman Old Style" w:cs="Arial Unicode MS"/>
          <w:sz w:val="20"/>
          <w:szCs w:val="20"/>
        </w:rPr>
        <w:t>San Salvador, a las catorce</w:t>
      </w:r>
      <w:r w:rsidR="004B3654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6934F8">
        <w:rPr>
          <w:rFonts w:ascii="Bookman Old Style" w:eastAsia="Arial Unicode MS" w:hAnsi="Bookman Old Style" w:cs="Arial Unicode MS"/>
          <w:sz w:val="20"/>
          <w:szCs w:val="20"/>
        </w:rPr>
        <w:t xml:space="preserve">horas </w:t>
      </w:r>
      <w:r w:rsidR="004B3654" w:rsidRPr="0084598A">
        <w:rPr>
          <w:rFonts w:ascii="Bookman Old Style" w:eastAsia="Arial Unicode MS" w:hAnsi="Bookman Old Style" w:cs="Arial Unicode MS"/>
          <w:sz w:val="20"/>
          <w:szCs w:val="20"/>
        </w:rPr>
        <w:t>de</w:t>
      </w:r>
      <w:r>
        <w:rPr>
          <w:rFonts w:ascii="Bookman Old Style" w:eastAsia="Arial Unicode MS" w:hAnsi="Bookman Old Style" w:cs="Arial Unicode MS"/>
          <w:sz w:val="20"/>
          <w:szCs w:val="20"/>
        </w:rPr>
        <w:t>l veinte</w:t>
      </w:r>
      <w:r w:rsidR="006934F8">
        <w:rPr>
          <w:rFonts w:ascii="Bookman Old Style" w:eastAsia="Arial Unicode MS" w:hAnsi="Bookman Old Style" w:cs="Arial Unicode MS"/>
          <w:sz w:val="20"/>
          <w:szCs w:val="20"/>
        </w:rPr>
        <w:t xml:space="preserve"> de septiembre </w:t>
      </w:r>
      <w:r w:rsidR="004B3654" w:rsidRPr="0084598A">
        <w:rPr>
          <w:rFonts w:ascii="Bookman Old Style" w:eastAsia="Arial Unicode MS" w:hAnsi="Bookman Old Style" w:cs="Arial Unicode MS"/>
          <w:sz w:val="20"/>
          <w:szCs w:val="20"/>
        </w:rPr>
        <w:t>de dos mil diecisiete, el Ministerio de Turismo, luego de haber recibido y admitido la solicitud de información, respecto a:</w:t>
      </w:r>
    </w:p>
    <w:p w:rsidR="004B3654" w:rsidRPr="0084598A" w:rsidRDefault="004B3654" w:rsidP="003B6D96">
      <w:pPr>
        <w:tabs>
          <w:tab w:val="left" w:pos="1140"/>
        </w:tabs>
        <w:spacing w:after="0" w:line="120" w:lineRule="atLeast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D100A" w:rsidRPr="00AD100A" w:rsidRDefault="00AD100A" w:rsidP="00A424E2">
      <w:pPr>
        <w:tabs>
          <w:tab w:val="left" w:pos="993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1) 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>¿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Existe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Comisión del servicio civil? Detalle los nombres, cargos y a quien representan con base a la ley. </w:t>
      </w:r>
    </w:p>
    <w:p w:rsidR="00AD100A" w:rsidRPr="00AD100A" w:rsidRDefault="00AD100A" w:rsidP="00A424E2">
      <w:pPr>
        <w:tabs>
          <w:tab w:val="left" w:pos="993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2) Si no existe la Comisión, que otra instancia resuelve los conflictos laborales 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>en la institución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</w:t>
      </w:r>
    </w:p>
    <w:p w:rsidR="00AD100A" w:rsidRPr="00AD100A" w:rsidRDefault="00AD100A" w:rsidP="00A424E2">
      <w:pPr>
        <w:tabs>
          <w:tab w:val="left" w:pos="993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3) 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>¿</w:t>
      </w:r>
      <w:r w:rsidR="003B6D96" w:rsidRPr="00AD100A">
        <w:rPr>
          <w:rFonts w:ascii="Bookman Old Style" w:eastAsia="Arial Unicode MS" w:hAnsi="Bookman Old Style" w:cs="Arial Unicode MS"/>
          <w:b/>
          <w:sz w:val="20"/>
          <w:szCs w:val="20"/>
        </w:rPr>
        <w:t>Cuáles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son las funciones que realiza la Comisión del servicio civil y cada 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>uno cuanto tiempo se reú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ne en dicha Comisión? </w:t>
      </w:r>
    </w:p>
    <w:p w:rsidR="00AD100A" w:rsidRPr="00AD100A" w:rsidRDefault="00AD100A" w:rsidP="00A424E2">
      <w:pPr>
        <w:tabs>
          <w:tab w:val="left" w:pos="993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sz w:val="20"/>
          <w:szCs w:val="20"/>
        </w:rPr>
        <w:t xml:space="preserve">4) 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Explique el proceso de contratación de personal que siguen en la 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>institución.</w:t>
      </w:r>
    </w:p>
    <w:p w:rsidR="00AD100A" w:rsidRPr="00AD100A" w:rsidRDefault="00AD100A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5) Detalle los beneficios y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prestaciones de los empleados.</w:t>
      </w:r>
    </w:p>
    <w:p w:rsidR="00AD100A" w:rsidRPr="00AD100A" w:rsidRDefault="00AD100A" w:rsidP="00A424E2">
      <w:pPr>
        <w:tabs>
          <w:tab w:val="left" w:pos="993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6) Explique cuál es el proceso que se sigue para la destitución o despido del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personal.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</w:t>
      </w:r>
    </w:p>
    <w:p w:rsidR="006934F8" w:rsidRDefault="00AD100A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7)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 xml:space="preserve"> </w:t>
      </w: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Detalle la estructura de plazas por formas de</w:t>
      </w:r>
      <w:r w:rsidR="003B6D96">
        <w:rPr>
          <w:rFonts w:ascii="Bookman Old Style" w:eastAsia="Arial Unicode MS" w:hAnsi="Bookman Old Style" w:cs="Arial Unicode MS"/>
          <w:b/>
          <w:sz w:val="20"/>
          <w:szCs w:val="20"/>
        </w:rPr>
        <w:t xml:space="preserve"> contratación en la institución.</w:t>
      </w:r>
    </w:p>
    <w:p w:rsidR="00AD100A" w:rsidRPr="006934F8" w:rsidRDefault="00AD100A" w:rsidP="003B6D96">
      <w:pPr>
        <w:tabs>
          <w:tab w:val="left" w:pos="1140"/>
        </w:tabs>
        <w:spacing w:after="0" w:line="120" w:lineRule="atLeast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AD100A" w:rsidRDefault="004B3654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>Presentada ante la Unidad de Acceso a la Información Pública de esta dependencia por parte de</w:t>
      </w:r>
      <w:r w:rsidR="00A424E2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proofErr w:type="spellStart"/>
      <w:r w:rsidR="00A424E2" w:rsidRPr="00A424E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xxxxxxxxxxxxxxxxx</w:t>
      </w:r>
      <w:proofErr w:type="spellEnd"/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, identificado con documento único de identidad </w:t>
      </w:r>
      <w:proofErr w:type="spellStart"/>
      <w:r w:rsidR="00A424E2" w:rsidRPr="00A424E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</w:t>
      </w:r>
      <w:proofErr w:type="spellEnd"/>
      <w:r w:rsidRPr="00A424E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,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considerando que la solicitud cumple con todos los requisitos establecidos en el  Art. 66 de la Ley de Acceso a la Información Pública, y que la información solicitada no se encuentra entre las excepciones enumeradas en los artículos 19 y 24 de la ley; y art. 19 del Reglamento</w:t>
      </w:r>
      <w:r w:rsidR="00AD100A">
        <w:rPr>
          <w:rFonts w:ascii="Bookman Old Style" w:eastAsia="Arial Unicode MS" w:hAnsi="Bookman Old Style" w:cs="Arial Unicode MS"/>
          <w:sz w:val="20"/>
          <w:szCs w:val="20"/>
        </w:rPr>
        <w:t>.</w:t>
      </w:r>
    </w:p>
    <w:p w:rsidR="00AD100A" w:rsidRPr="00AD100A" w:rsidRDefault="00AD100A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AD100A" w:rsidRPr="00AD100A" w:rsidRDefault="00AD100A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CONSIDERANDO:</w:t>
      </w:r>
    </w:p>
    <w:p w:rsidR="00AD100A" w:rsidRPr="00AD100A" w:rsidRDefault="00AD100A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D100A" w:rsidRPr="003B6D96" w:rsidRDefault="00AD100A" w:rsidP="00A424E2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0" w:hanging="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3B6D96">
        <w:rPr>
          <w:rFonts w:ascii="Bookman Old Style" w:eastAsia="Arial Unicode MS" w:hAnsi="Bookman Old Style" w:cs="Arial Unicode MS"/>
          <w:sz w:val="20"/>
          <w:szCs w:val="20"/>
        </w:rPr>
        <w:t xml:space="preserve"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AD100A" w:rsidRPr="00AD100A" w:rsidRDefault="00AD100A" w:rsidP="00A424E2">
      <w:pPr>
        <w:tabs>
          <w:tab w:val="left" w:pos="1140"/>
        </w:tabs>
        <w:spacing w:after="0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D100A" w:rsidRDefault="00AD100A" w:rsidP="00A424E2">
      <w:pPr>
        <w:tabs>
          <w:tab w:val="left" w:pos="0"/>
          <w:tab w:val="left" w:pos="1560"/>
        </w:tabs>
        <w:spacing w:after="0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sz w:val="20"/>
          <w:szCs w:val="20"/>
        </w:rPr>
        <w:t>II.</w:t>
      </w:r>
      <w:r w:rsidR="003B6D96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Pr="00AD100A">
        <w:rPr>
          <w:rFonts w:ascii="Bookman Old Style" w:eastAsia="Arial Unicode MS" w:hAnsi="Bookman Old Style" w:cs="Arial Unicode MS"/>
          <w:sz w:val="20"/>
          <w:szCs w:val="20"/>
        </w:rPr>
        <w:tab/>
        <w:t xml:space="preserve">Que como parte del procedimiento interno de gestión de información, la suscrita </w:t>
      </w:r>
      <w:r w:rsidR="003B6D96">
        <w:rPr>
          <w:rFonts w:ascii="Bookman Old Style" w:eastAsia="Arial Unicode MS" w:hAnsi="Bookman Old Style" w:cs="Arial Unicode MS"/>
          <w:sz w:val="20"/>
          <w:szCs w:val="20"/>
        </w:rPr>
        <w:tab/>
      </w:r>
      <w:r w:rsidRPr="00AD100A">
        <w:rPr>
          <w:rFonts w:ascii="Bookman Old Style" w:eastAsia="Arial Unicode MS" w:hAnsi="Bookman Old Style" w:cs="Arial Unicode MS"/>
          <w:sz w:val="20"/>
          <w:szCs w:val="20"/>
        </w:rPr>
        <w:t xml:space="preserve">requirió a la Unidad </w:t>
      </w:r>
      <w:r>
        <w:rPr>
          <w:rFonts w:ascii="Bookman Old Style" w:eastAsia="Arial Unicode MS" w:hAnsi="Bookman Old Style" w:cs="Arial Unicode MS"/>
          <w:sz w:val="20"/>
          <w:szCs w:val="20"/>
        </w:rPr>
        <w:t xml:space="preserve">Administrativa </w:t>
      </w:r>
      <w:r w:rsidRPr="00AD100A">
        <w:rPr>
          <w:rFonts w:ascii="Bookman Old Style" w:eastAsia="Arial Unicode MS" w:hAnsi="Bookman Old Style" w:cs="Arial Unicode MS"/>
          <w:sz w:val="20"/>
          <w:szCs w:val="20"/>
        </w:rPr>
        <w:t xml:space="preserve">de esta Secretaría de Estado </w:t>
      </w:r>
      <w:r>
        <w:rPr>
          <w:rFonts w:ascii="Bookman Old Style" w:eastAsia="Arial Unicode MS" w:hAnsi="Bookman Old Style" w:cs="Arial Unicode MS"/>
          <w:sz w:val="20"/>
          <w:szCs w:val="20"/>
        </w:rPr>
        <w:t xml:space="preserve">la información </w:t>
      </w:r>
      <w:r w:rsidR="003B6D96">
        <w:rPr>
          <w:rFonts w:ascii="Bookman Old Style" w:eastAsia="Arial Unicode MS" w:hAnsi="Bookman Old Style" w:cs="Arial Unicode MS"/>
          <w:sz w:val="20"/>
          <w:szCs w:val="20"/>
        </w:rPr>
        <w:tab/>
      </w:r>
      <w:r>
        <w:rPr>
          <w:rFonts w:ascii="Bookman Old Style" w:eastAsia="Arial Unicode MS" w:hAnsi="Bookman Old Style" w:cs="Arial Unicode MS"/>
          <w:sz w:val="20"/>
          <w:szCs w:val="20"/>
        </w:rPr>
        <w:t>pretendida por el peticionario</w:t>
      </w:r>
      <w:r w:rsidRPr="00AD100A">
        <w:rPr>
          <w:rFonts w:ascii="Bookman Old Style" w:eastAsia="Arial Unicode MS" w:hAnsi="Bookman Old Style" w:cs="Arial Unicode MS"/>
          <w:sz w:val="20"/>
          <w:szCs w:val="20"/>
        </w:rPr>
        <w:t>.</w:t>
      </w:r>
    </w:p>
    <w:p w:rsidR="00AD100A" w:rsidRDefault="00AD100A" w:rsidP="00A424E2">
      <w:pPr>
        <w:tabs>
          <w:tab w:val="left" w:pos="0"/>
          <w:tab w:val="left" w:pos="1560"/>
        </w:tabs>
        <w:spacing w:after="0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D100A" w:rsidRDefault="00AD100A" w:rsidP="00A424E2">
      <w:pPr>
        <w:pStyle w:val="Prrafodelista"/>
        <w:tabs>
          <w:tab w:val="left" w:pos="3000"/>
        </w:tabs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POR TANTO:</w:t>
      </w:r>
      <w:r w:rsidRPr="00AD100A">
        <w:rPr>
          <w:rFonts w:ascii="Bookman Old Style" w:eastAsia="Arial Unicode MS" w:hAnsi="Bookman Old Style" w:cs="Arial Unicode MS"/>
          <w:sz w:val="20"/>
          <w:szCs w:val="20"/>
        </w:rPr>
        <w:t xml:space="preserve"> De conformidad a lo establecido en los Arts. 62 y 72 de la Ley de Acceso a la Información Pública.     </w:t>
      </w:r>
    </w:p>
    <w:p w:rsidR="00AD100A" w:rsidRPr="001A431B" w:rsidRDefault="00AD100A" w:rsidP="00A424E2">
      <w:pPr>
        <w:pStyle w:val="Prrafodelista"/>
        <w:tabs>
          <w:tab w:val="left" w:pos="3000"/>
        </w:tabs>
        <w:ind w:left="-426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D100A" w:rsidRDefault="00AD100A" w:rsidP="00A424E2">
      <w:pPr>
        <w:pStyle w:val="Prrafodelista"/>
        <w:tabs>
          <w:tab w:val="left" w:pos="709"/>
          <w:tab w:val="left" w:pos="3000"/>
        </w:tabs>
        <w:ind w:left="-426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AD100A">
        <w:rPr>
          <w:rFonts w:ascii="Bookman Old Style" w:eastAsia="Arial Unicode MS" w:hAnsi="Bookman Old Style" w:cs="Arial Unicode MS"/>
          <w:b/>
          <w:sz w:val="20"/>
          <w:szCs w:val="20"/>
        </w:rPr>
        <w:t>SE RESUELVE:</w:t>
      </w:r>
    </w:p>
    <w:p w:rsidR="003B6D96" w:rsidRPr="00AD100A" w:rsidRDefault="003B6D96" w:rsidP="00A424E2">
      <w:pPr>
        <w:pStyle w:val="Prrafodelista"/>
        <w:tabs>
          <w:tab w:val="left" w:pos="709"/>
          <w:tab w:val="left" w:pos="3000"/>
        </w:tabs>
        <w:ind w:left="-426"/>
        <w:rPr>
          <w:rFonts w:eastAsia="Arial Unicode MS" w:cs="Arial Unicode MS"/>
          <w:b/>
          <w:lang w:val="es-SV"/>
        </w:rPr>
      </w:pPr>
    </w:p>
    <w:p w:rsidR="00AD100A" w:rsidRPr="003B6D96" w:rsidRDefault="00AD100A" w:rsidP="00A424E2">
      <w:pPr>
        <w:pStyle w:val="Prrafodelista"/>
        <w:numPr>
          <w:ilvl w:val="0"/>
          <w:numId w:val="5"/>
        </w:numPr>
        <w:tabs>
          <w:tab w:val="left" w:pos="3000"/>
        </w:tabs>
        <w:spacing w:after="0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3B6D96">
        <w:rPr>
          <w:rFonts w:ascii="Bookman Old Style" w:eastAsia="Arial Unicode MS" w:hAnsi="Bookman Old Style" w:cs="Arial Unicode MS"/>
          <w:sz w:val="20"/>
          <w:szCs w:val="20"/>
        </w:rPr>
        <w:t>Declárese procedente la solicitud de acceso a la inform</w:t>
      </w:r>
      <w:r w:rsidR="003B6D96">
        <w:rPr>
          <w:rFonts w:ascii="Bookman Old Style" w:eastAsia="Arial Unicode MS" w:hAnsi="Bookman Old Style" w:cs="Arial Unicode MS"/>
          <w:sz w:val="20"/>
          <w:szCs w:val="20"/>
        </w:rPr>
        <w:t>ación realizada por parte del  peticionario</w:t>
      </w:r>
      <w:r w:rsidRPr="003B6D96">
        <w:rPr>
          <w:rFonts w:ascii="Bookman Old Style" w:eastAsia="Arial Unicode MS" w:hAnsi="Bookman Old Style" w:cs="Arial Unicode MS"/>
          <w:sz w:val="20"/>
          <w:szCs w:val="20"/>
        </w:rPr>
        <w:t>.</w:t>
      </w:r>
    </w:p>
    <w:p w:rsidR="00557838" w:rsidRDefault="00AD100A" w:rsidP="00A424E2">
      <w:pPr>
        <w:pStyle w:val="Prrafodelista"/>
        <w:numPr>
          <w:ilvl w:val="0"/>
          <w:numId w:val="5"/>
        </w:numPr>
        <w:tabs>
          <w:tab w:val="left" w:pos="1140"/>
          <w:tab w:val="left" w:pos="3000"/>
        </w:tabs>
        <w:spacing w:after="0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3B6D96">
        <w:rPr>
          <w:rFonts w:ascii="Bookman Old Style" w:eastAsia="Arial Unicode MS" w:hAnsi="Bookman Old Style" w:cs="Arial Unicode MS"/>
          <w:sz w:val="20"/>
          <w:szCs w:val="20"/>
        </w:rPr>
        <w:t>Brindar la Información según la respuesta br</w:t>
      </w:r>
      <w:r w:rsidR="003B6D96" w:rsidRPr="003B6D96">
        <w:rPr>
          <w:rFonts w:ascii="Bookman Old Style" w:eastAsia="Arial Unicode MS" w:hAnsi="Bookman Old Style" w:cs="Arial Unicode MS"/>
          <w:sz w:val="20"/>
          <w:szCs w:val="20"/>
        </w:rPr>
        <w:t>indada por la Unidad Administrativa</w:t>
      </w:r>
      <w:r w:rsidRPr="003B6D96">
        <w:rPr>
          <w:rFonts w:ascii="Bookman Old Style" w:eastAsia="Arial Unicode MS" w:hAnsi="Bookman Old Style" w:cs="Arial Unicode MS"/>
          <w:sz w:val="20"/>
          <w:szCs w:val="20"/>
        </w:rPr>
        <w:t>, la cual se remite en adjunto al correo consignado para recibir la información.</w:t>
      </w:r>
    </w:p>
    <w:p w:rsidR="00A424E2" w:rsidRDefault="00A424E2" w:rsidP="00A424E2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A424E2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A424E2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A424E2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A424E2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Pr="00A424E2" w:rsidRDefault="00A424E2" w:rsidP="00A424E2">
      <w:pPr>
        <w:tabs>
          <w:tab w:val="left" w:pos="1140"/>
          <w:tab w:val="left" w:pos="3000"/>
        </w:tabs>
        <w:spacing w:after="0" w:line="120" w:lineRule="atLeast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3B6D96" w:rsidRPr="003B6D96" w:rsidRDefault="003B6D96" w:rsidP="003B6D96">
      <w:pPr>
        <w:pStyle w:val="Prrafodelista"/>
        <w:tabs>
          <w:tab w:val="left" w:pos="1140"/>
          <w:tab w:val="left" w:pos="3000"/>
        </w:tabs>
        <w:spacing w:after="0" w:line="120" w:lineRule="atLeast"/>
        <w:ind w:left="-426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557838" w:rsidRDefault="00557838" w:rsidP="003B6D96">
      <w:pPr>
        <w:pStyle w:val="Textosinformato"/>
        <w:tabs>
          <w:tab w:val="left" w:pos="284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Por lo tanto </w:t>
      </w:r>
      <w:r>
        <w:rPr>
          <w:rFonts w:ascii="Bookman Old Style" w:eastAsia="Arial Unicode MS" w:hAnsi="Bookman Old Style" w:cs="Arial Unicode MS"/>
          <w:sz w:val="20"/>
          <w:szCs w:val="20"/>
        </w:rPr>
        <w:t>notifíquese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en esta misma fecha al correo:</w:t>
      </w:r>
      <w:r w:rsidRPr="00557838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3B6D96">
        <w:rPr>
          <w:rFonts w:ascii="Bookman Old Style" w:eastAsia="Arial Unicode MS" w:hAnsi="Bookman Old Style" w:cs="Arial Unicode MS"/>
          <w:sz w:val="20"/>
          <w:szCs w:val="20"/>
        </w:rPr>
        <w:tab/>
      </w:r>
      <w:proofErr w:type="spellStart"/>
      <w:r w:rsidR="00A424E2" w:rsidRPr="00A424E2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</w:t>
      </w:r>
      <w:proofErr w:type="spellEnd"/>
    </w:p>
    <w:p w:rsidR="00A424E2" w:rsidRDefault="00A424E2" w:rsidP="003B6D96">
      <w:pPr>
        <w:pStyle w:val="Textosinformato"/>
        <w:tabs>
          <w:tab w:val="left" w:pos="284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082B92EC" wp14:editId="0AB02567">
            <wp:simplePos x="0" y="0"/>
            <wp:positionH relativeFrom="column">
              <wp:posOffset>1805940</wp:posOffset>
            </wp:positionH>
            <wp:positionV relativeFrom="paragraph">
              <wp:posOffset>45720</wp:posOffset>
            </wp:positionV>
            <wp:extent cx="28575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456" y="21352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4E2" w:rsidRDefault="00A424E2" w:rsidP="003B6D96">
      <w:pPr>
        <w:pStyle w:val="Textosinformato"/>
        <w:tabs>
          <w:tab w:val="left" w:pos="284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3B6D96">
      <w:pPr>
        <w:pStyle w:val="Textosinformato"/>
        <w:tabs>
          <w:tab w:val="left" w:pos="284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3B6D96">
      <w:pPr>
        <w:pStyle w:val="Textosinformato"/>
        <w:tabs>
          <w:tab w:val="left" w:pos="284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3B6D96">
      <w:pPr>
        <w:pStyle w:val="Textosinformato"/>
        <w:tabs>
          <w:tab w:val="left" w:pos="284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</w:p>
    <w:p w:rsidR="00A424E2" w:rsidRDefault="00A424E2" w:rsidP="003B6D96">
      <w:pPr>
        <w:pStyle w:val="Textosinformato"/>
        <w:tabs>
          <w:tab w:val="left" w:pos="284"/>
        </w:tabs>
        <w:ind w:left="-426"/>
        <w:rPr>
          <w:rFonts w:asciiTheme="minorHAnsi" w:eastAsia="Arial Unicode MS" w:hAnsiTheme="minorHAnsi" w:cs="Arial Unicode MS"/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3777" wp14:editId="53DF80EF">
                <wp:simplePos x="0" y="0"/>
                <wp:positionH relativeFrom="column">
                  <wp:posOffset>300990</wp:posOffset>
                </wp:positionH>
                <wp:positionV relativeFrom="paragraph">
                  <wp:posOffset>125095</wp:posOffset>
                </wp:positionV>
                <wp:extent cx="5124450" cy="647700"/>
                <wp:effectExtent l="0" t="0" r="19050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38" w:rsidRPr="00C736F8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557838" w:rsidRPr="00C736F8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557838" w:rsidRPr="00C736F8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557838" w:rsidRPr="00BC00EC" w:rsidRDefault="003B6D96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2241-3200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F37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.7pt;margin-top:9.85pt;width:40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G3MAIAAFcEAAAOAAAAZHJzL2Uyb0RvYy54bWysVNtu2zAMfR+wfxD0vjgJnF6MOEWXLsOA&#10;rhvQ7QMUSY6FyaJGKbG7rx8lp1l2exnmB0EUyUPykPTyZugsO2gMBlzNZ5MpZ9pJUMbtav750+bV&#10;FWchCqeEBadr/qQDv1m9fLHsfaXn0IJVGhmBuFD1vuZtjL4qiiBb3YkwAa8dKRvATkQScVcoFD2h&#10;d7aYT6cXRQ+oPILUIdDr3ajkq4zfNFrGD00TdGS25pRbzCfmc5vOYrUU1Q6Fb408piH+IYtOGEdB&#10;T1B3Igq2R/MbVGckQoAmTiR0BTSNkTrXQNXMpr9U89gKr3MtRE7wJ5rC/4OVD4ePyIyqecmZEx21&#10;aL0XCoEpzaIeIrBZIqn3oSLbR0/WcXgNAzU7Fxz8PcgvgTlYt8Lt9C0i9K0WipLMnsWZ64gTEsi2&#10;fw+Kool9hAw0NNglBokTRujUrKdTgygPJulxMZuX5YJUknQX5eXlNHewENWzt8cQ32roWLrUHGkA&#10;Mro43IdIdZDps0kKFsAatTHWZgF327VFdhA0LJv8pdLJ5Scz61hf8+vFfDES8FeIaf7+BNGZSFNv&#10;TVfzq5ORqBJtb5zKMxmFseOd4ltHaSQeE3UjiXHYDse+bEE9EaMI43TTNtKlBfzGWU+TXfPwdS9Q&#10;c2bfOerK9aws0ypkoVxczknAc832XCOcJKiaR87G6zqO67P3aHYtRRrnwMEtdbIxmeSU6pjVMW+a&#10;3kzkcdPSepzL2erH/2D1HQAA//8DAFBLAwQUAAYACAAAACEAa54N0d4AAAAJAQAADwAAAGRycy9k&#10;b3ducmV2LnhtbEyPwU7DMBBE70j8g7VIXBB1WkKThjgVQgLBDdoKrm68TSLidbDdNPw9ywmO+2Y0&#10;O1OuJ9uLEX3oHCmYzxIQSLUzHTUKdtvH6xxEiJqM7h2hgm8MsK7Oz0pdGHeiNxw3sREcQqHQCtoY&#10;h0LKULdodZi5AYm1g/NWRz59I43XJw63vVwkyVJa3RF/aPWADy3Wn5ujVZCnz+NHeLl5fa+Xh34V&#10;r7Lx6csrdXkx3d+BiDjFPzP81ufqUHGnvTuSCaJXkGYpO5mvMhCs57cpgz2DxTwDWZXy/4LqBwAA&#10;//8DAFBLAQItABQABgAIAAAAIQC2gziS/gAAAOEBAAATAAAAAAAAAAAAAAAAAAAAAABbQ29udGVu&#10;dF9UeXBlc10ueG1sUEsBAi0AFAAGAAgAAAAhADj9If/WAAAAlAEAAAsAAAAAAAAAAAAAAAAALwEA&#10;AF9yZWxzLy5yZWxzUEsBAi0AFAAGAAgAAAAhAH9C4bcwAgAAVwQAAA4AAAAAAAAAAAAAAAAALgIA&#10;AGRycy9lMm9Eb2MueG1sUEsBAi0AFAAGAAgAAAAhAGueDdHeAAAACQEAAA8AAAAAAAAAAAAAAAAA&#10;igQAAGRycy9kb3ducmV2LnhtbFBLBQYAAAAABAAEAPMAAACVBQAAAAA=&#10;">
                <v:textbox>
                  <w:txbxContent>
                    <w:p w:rsidR="00557838" w:rsidRPr="00C736F8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557838" w:rsidRPr="00C736F8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557838" w:rsidRPr="00C736F8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557838" w:rsidRPr="00BC00EC" w:rsidRDefault="003B6D96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Teléfono: 2241-3200</w:t>
                      </w:r>
                    </w:p>
                  </w:txbxContent>
                </v:textbox>
              </v:shape>
            </w:pict>
          </mc:Fallback>
        </mc:AlternateContent>
      </w:r>
    </w:p>
    <w:p w:rsidR="00557838" w:rsidRDefault="00557838" w:rsidP="003B6D96">
      <w:pPr>
        <w:pStyle w:val="Textosinformato"/>
        <w:tabs>
          <w:tab w:val="left" w:pos="567"/>
        </w:tabs>
        <w:ind w:left="-426"/>
        <w:rPr>
          <w:rFonts w:asciiTheme="minorHAnsi" w:eastAsia="Arial Unicode MS" w:hAnsiTheme="minorHAnsi" w:cs="Arial Unicode MS"/>
          <w:sz w:val="20"/>
          <w:szCs w:val="20"/>
        </w:rPr>
      </w:pPr>
    </w:p>
    <w:p w:rsidR="00557838" w:rsidRDefault="00557838" w:rsidP="003B6D96">
      <w:pPr>
        <w:pStyle w:val="Textosinformato"/>
        <w:tabs>
          <w:tab w:val="left" w:pos="567"/>
        </w:tabs>
        <w:ind w:left="-426"/>
        <w:rPr>
          <w:rFonts w:asciiTheme="minorHAnsi" w:eastAsia="Arial Unicode MS" w:hAnsiTheme="minorHAnsi" w:cs="Arial Unicode MS"/>
          <w:sz w:val="20"/>
          <w:szCs w:val="20"/>
        </w:rPr>
      </w:pPr>
    </w:p>
    <w:p w:rsidR="00557838" w:rsidRDefault="00557838" w:rsidP="003B6D96">
      <w:pPr>
        <w:pStyle w:val="Textosinformato"/>
        <w:tabs>
          <w:tab w:val="left" w:pos="567"/>
        </w:tabs>
        <w:ind w:left="-426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>
        <w:rPr>
          <w:rFonts w:ascii="Bookman Old Style" w:eastAsia="Arial Unicode MS" w:hAnsi="Bookman Old Style" w:cs="Arial Unicode MS"/>
          <w:sz w:val="20"/>
          <w:szCs w:val="20"/>
        </w:rPr>
        <w:tab/>
      </w:r>
    </w:p>
    <w:p w:rsidR="00A424E2" w:rsidRDefault="00A424E2" w:rsidP="00A424E2">
      <w:pPr>
        <w:pStyle w:val="Textosinforma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A424E2" w:rsidRDefault="00A424E2" w:rsidP="00A424E2">
      <w:pPr>
        <w:pStyle w:val="Textosinforma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A424E2" w:rsidRDefault="00A424E2" w:rsidP="00A424E2">
      <w:pPr>
        <w:pStyle w:val="Textosinforma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A424E2" w:rsidRPr="00150A36" w:rsidRDefault="00A424E2" w:rsidP="00A424E2">
      <w:pPr>
        <w:pStyle w:val="Textosinformato"/>
        <w:jc w:val="both"/>
        <w:rPr>
          <w:rFonts w:asciiTheme="minorHAnsi" w:hAnsiTheme="minorHAnsi"/>
          <w:sz w:val="18"/>
          <w:szCs w:val="18"/>
        </w:rPr>
      </w:pPr>
      <w:r w:rsidRPr="00150A36">
        <w:rPr>
          <w:rFonts w:ascii="Century Gothic" w:hAnsi="Century Gothic"/>
          <w:b/>
          <w:sz w:val="18"/>
          <w:szCs w:val="18"/>
          <w:u w:val="single"/>
        </w:rPr>
        <w:t>Nota</w:t>
      </w:r>
      <w:r w:rsidRPr="00150A36">
        <w:rPr>
          <w:rFonts w:ascii="Century Gothic" w:hAnsi="Century Gothic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A424E2" w:rsidRPr="007F1556" w:rsidRDefault="00A424E2" w:rsidP="00A424E2">
      <w:pPr>
        <w:rPr>
          <w:lang w:val="es-SV"/>
        </w:rPr>
      </w:pPr>
    </w:p>
    <w:p w:rsidR="00557838" w:rsidRPr="00557838" w:rsidRDefault="00557838" w:rsidP="003B6D96">
      <w:pPr>
        <w:tabs>
          <w:tab w:val="left" w:pos="1140"/>
        </w:tabs>
        <w:spacing w:after="0" w:line="120" w:lineRule="atLeast"/>
        <w:ind w:left="-426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  <w:bookmarkStart w:id="0" w:name="_GoBack"/>
      <w:bookmarkEnd w:id="0"/>
    </w:p>
    <w:sectPr w:rsidR="00557838" w:rsidRPr="00557838" w:rsidSect="003B6D96">
      <w:pgSz w:w="12240" w:h="15840" w:code="1"/>
      <w:pgMar w:top="851" w:right="146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C3" w:rsidRDefault="00EE6AC3" w:rsidP="00A424E2">
      <w:pPr>
        <w:spacing w:after="0" w:line="240" w:lineRule="auto"/>
      </w:pPr>
      <w:r>
        <w:separator/>
      </w:r>
    </w:p>
  </w:endnote>
  <w:endnote w:type="continuationSeparator" w:id="0">
    <w:p w:rsidR="00EE6AC3" w:rsidRDefault="00EE6AC3" w:rsidP="00A4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C3" w:rsidRDefault="00EE6AC3" w:rsidP="00A424E2">
      <w:pPr>
        <w:spacing w:after="0" w:line="240" w:lineRule="auto"/>
      </w:pPr>
      <w:r>
        <w:separator/>
      </w:r>
    </w:p>
  </w:footnote>
  <w:footnote w:type="continuationSeparator" w:id="0">
    <w:p w:rsidR="00EE6AC3" w:rsidRDefault="00EE6AC3" w:rsidP="00A4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337"/>
    <w:multiLevelType w:val="hybridMultilevel"/>
    <w:tmpl w:val="1A440E12"/>
    <w:lvl w:ilvl="0" w:tplc="1EBA0ED8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14" w:hanging="360"/>
      </w:pPr>
    </w:lvl>
    <w:lvl w:ilvl="2" w:tplc="440A001B" w:tentative="1">
      <w:start w:val="1"/>
      <w:numFmt w:val="lowerRoman"/>
      <w:lvlText w:val="%3."/>
      <w:lvlJc w:val="right"/>
      <w:pPr>
        <w:ind w:left="1734" w:hanging="180"/>
      </w:pPr>
    </w:lvl>
    <w:lvl w:ilvl="3" w:tplc="440A000F" w:tentative="1">
      <w:start w:val="1"/>
      <w:numFmt w:val="decimal"/>
      <w:lvlText w:val="%4."/>
      <w:lvlJc w:val="left"/>
      <w:pPr>
        <w:ind w:left="2454" w:hanging="360"/>
      </w:pPr>
    </w:lvl>
    <w:lvl w:ilvl="4" w:tplc="440A0019" w:tentative="1">
      <w:start w:val="1"/>
      <w:numFmt w:val="lowerLetter"/>
      <w:lvlText w:val="%5."/>
      <w:lvlJc w:val="left"/>
      <w:pPr>
        <w:ind w:left="3174" w:hanging="360"/>
      </w:pPr>
    </w:lvl>
    <w:lvl w:ilvl="5" w:tplc="440A001B" w:tentative="1">
      <w:start w:val="1"/>
      <w:numFmt w:val="lowerRoman"/>
      <w:lvlText w:val="%6."/>
      <w:lvlJc w:val="right"/>
      <w:pPr>
        <w:ind w:left="3894" w:hanging="180"/>
      </w:pPr>
    </w:lvl>
    <w:lvl w:ilvl="6" w:tplc="440A000F" w:tentative="1">
      <w:start w:val="1"/>
      <w:numFmt w:val="decimal"/>
      <w:lvlText w:val="%7."/>
      <w:lvlJc w:val="left"/>
      <w:pPr>
        <w:ind w:left="4614" w:hanging="360"/>
      </w:pPr>
    </w:lvl>
    <w:lvl w:ilvl="7" w:tplc="440A0019" w:tentative="1">
      <w:start w:val="1"/>
      <w:numFmt w:val="lowerLetter"/>
      <w:lvlText w:val="%8."/>
      <w:lvlJc w:val="left"/>
      <w:pPr>
        <w:ind w:left="5334" w:hanging="360"/>
      </w:pPr>
    </w:lvl>
    <w:lvl w:ilvl="8" w:tplc="4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6518C8"/>
    <w:multiLevelType w:val="hybridMultilevel"/>
    <w:tmpl w:val="EE9A458A"/>
    <w:lvl w:ilvl="0" w:tplc="28EAF11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96" w:hanging="360"/>
      </w:pPr>
    </w:lvl>
    <w:lvl w:ilvl="2" w:tplc="440A001B" w:tentative="1">
      <w:start w:val="1"/>
      <w:numFmt w:val="lowerRoman"/>
      <w:lvlText w:val="%3."/>
      <w:lvlJc w:val="right"/>
      <w:pPr>
        <w:ind w:left="1516" w:hanging="180"/>
      </w:pPr>
    </w:lvl>
    <w:lvl w:ilvl="3" w:tplc="440A000F" w:tentative="1">
      <w:start w:val="1"/>
      <w:numFmt w:val="decimal"/>
      <w:lvlText w:val="%4."/>
      <w:lvlJc w:val="left"/>
      <w:pPr>
        <w:ind w:left="2236" w:hanging="360"/>
      </w:pPr>
    </w:lvl>
    <w:lvl w:ilvl="4" w:tplc="440A0019" w:tentative="1">
      <w:start w:val="1"/>
      <w:numFmt w:val="lowerLetter"/>
      <w:lvlText w:val="%5."/>
      <w:lvlJc w:val="left"/>
      <w:pPr>
        <w:ind w:left="2956" w:hanging="360"/>
      </w:pPr>
    </w:lvl>
    <w:lvl w:ilvl="5" w:tplc="440A001B" w:tentative="1">
      <w:start w:val="1"/>
      <w:numFmt w:val="lowerRoman"/>
      <w:lvlText w:val="%6."/>
      <w:lvlJc w:val="right"/>
      <w:pPr>
        <w:ind w:left="3676" w:hanging="180"/>
      </w:pPr>
    </w:lvl>
    <w:lvl w:ilvl="6" w:tplc="440A000F" w:tentative="1">
      <w:start w:val="1"/>
      <w:numFmt w:val="decimal"/>
      <w:lvlText w:val="%7."/>
      <w:lvlJc w:val="left"/>
      <w:pPr>
        <w:ind w:left="4396" w:hanging="360"/>
      </w:pPr>
    </w:lvl>
    <w:lvl w:ilvl="7" w:tplc="440A0019" w:tentative="1">
      <w:start w:val="1"/>
      <w:numFmt w:val="lowerLetter"/>
      <w:lvlText w:val="%8."/>
      <w:lvlJc w:val="left"/>
      <w:pPr>
        <w:ind w:left="5116" w:hanging="360"/>
      </w:pPr>
    </w:lvl>
    <w:lvl w:ilvl="8" w:tplc="4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4"/>
    <w:rsid w:val="002605DA"/>
    <w:rsid w:val="003B6D96"/>
    <w:rsid w:val="003C30BA"/>
    <w:rsid w:val="004B3654"/>
    <w:rsid w:val="004D684E"/>
    <w:rsid w:val="00557838"/>
    <w:rsid w:val="006934F8"/>
    <w:rsid w:val="00703AB4"/>
    <w:rsid w:val="00A424E2"/>
    <w:rsid w:val="00AD100A"/>
    <w:rsid w:val="00C40ED3"/>
    <w:rsid w:val="00EE6AC3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63B0-B137-41EC-94D4-FC3E6EE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65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557838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783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557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38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4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4E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Marisol Campos de Cáceres</dc:creator>
  <cp:keywords/>
  <dc:description/>
  <cp:lastModifiedBy>Glenda Marisol Campos de Cáceres</cp:lastModifiedBy>
  <cp:revision>2</cp:revision>
  <cp:lastPrinted>2017-09-20T21:15:00Z</cp:lastPrinted>
  <dcterms:created xsi:type="dcterms:W3CDTF">2017-10-12T16:14:00Z</dcterms:created>
  <dcterms:modified xsi:type="dcterms:W3CDTF">2017-10-12T16:14:00Z</dcterms:modified>
</cp:coreProperties>
</file>