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60460B">
        <w:t>ABRIL</w:t>
      </w:r>
      <w:r w:rsidR="00A36D78">
        <w:t xml:space="preserve"> – </w:t>
      </w:r>
      <w:r w:rsidR="00D058C1">
        <w:t>JUL</w:t>
      </w:r>
      <w:r w:rsidR="0060460B">
        <w:t>IO</w:t>
      </w:r>
      <w:r w:rsidR="00A36D78">
        <w:t xml:space="preserve"> 2022.</w:t>
      </w:r>
    </w:p>
    <w:p w:rsidR="000032D1" w:rsidRDefault="000032D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Tesorero Institucional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A36D7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Licenciado en Contaduría Pública.  Con conocimientos contables y en Administración Financiera.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Jeannette Marisela Castro Hernández</w:t>
            </w:r>
          </w:p>
        </w:tc>
      </w:tr>
      <w:tr w:rsidR="0060460B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Colaborador Contable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Egresado o Licenciado en Contaduría Pública.  Con conocimientos contables.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Eva Elizabeth Mauricio de Fuentes</w:t>
            </w:r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60460B"/>
    <w:rsid w:val="008918C2"/>
    <w:rsid w:val="009138F8"/>
    <w:rsid w:val="00A36D78"/>
    <w:rsid w:val="00AD593E"/>
    <w:rsid w:val="00AF7B53"/>
    <w:rsid w:val="00D058C1"/>
    <w:rsid w:val="00DE39BA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Adyni Arleht Pocasangre Crespin</cp:lastModifiedBy>
  <cp:revision>3</cp:revision>
  <dcterms:created xsi:type="dcterms:W3CDTF">2022-08-10T20:05:00Z</dcterms:created>
  <dcterms:modified xsi:type="dcterms:W3CDTF">2022-08-10T21:27:00Z</dcterms:modified>
</cp:coreProperties>
</file>