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FD5" w:rsidRPr="007C6FD5" w:rsidRDefault="007C6FD5" w:rsidP="009655B2">
      <w:pPr>
        <w:pStyle w:val="Ttulo3"/>
        <w:ind w:left="-142" w:right="-143"/>
        <w:rPr>
          <w:color w:val="auto"/>
          <w:sz w:val="30"/>
          <w:szCs w:val="30"/>
          <w:u w:val="single"/>
          <w:lang w:val="es-SV"/>
        </w:rPr>
      </w:pPr>
      <w:bookmarkStart w:id="0" w:name="_Toc405473806"/>
      <w:bookmarkStart w:id="1" w:name="_Toc307488701"/>
      <w:r w:rsidRPr="007C6FD5">
        <w:rPr>
          <w:color w:val="auto"/>
          <w:sz w:val="30"/>
          <w:szCs w:val="30"/>
          <w:u w:val="single"/>
          <w:lang w:val="es-SV"/>
        </w:rPr>
        <w:t>Actividades de Participación Ciudadana - 2014</w:t>
      </w:r>
    </w:p>
    <w:p w:rsidR="007C6FD5" w:rsidRDefault="007C6FD5" w:rsidP="009655B2">
      <w:pPr>
        <w:pStyle w:val="Ttulo3"/>
        <w:ind w:left="-142" w:right="-143"/>
        <w:rPr>
          <w:lang w:val="es-SV"/>
        </w:rPr>
      </w:pPr>
    </w:p>
    <w:p w:rsidR="009655B2" w:rsidRPr="00264690" w:rsidRDefault="009655B2" w:rsidP="009655B2">
      <w:pPr>
        <w:pStyle w:val="Ttulo3"/>
        <w:ind w:left="-142" w:right="-143"/>
        <w:rPr>
          <w:lang w:val="es-SV"/>
        </w:rPr>
      </w:pPr>
      <w:r w:rsidRPr="00264690">
        <w:rPr>
          <w:lang w:val="es-SV"/>
        </w:rPr>
        <w:t>Rendición de cuentas “ResultadoSC 2009-2014”</w:t>
      </w:r>
      <w:bookmarkEnd w:id="0"/>
      <w:bookmarkEnd w:id="1"/>
    </w:p>
    <w:p w:rsidR="009655B2" w:rsidRPr="00264690" w:rsidRDefault="009655B2" w:rsidP="009655B2">
      <w:pPr>
        <w:ind w:left="-142" w:right="-143"/>
        <w:rPr>
          <w:sz w:val="20"/>
          <w:lang w:val="es-SV"/>
        </w:rPr>
      </w:pPr>
    </w:p>
    <w:p w:rsidR="009655B2" w:rsidRPr="00284422" w:rsidRDefault="009655B2" w:rsidP="009655B2">
      <w:pPr>
        <w:ind w:left="-142" w:right="-143"/>
        <w:rPr>
          <w:rFonts w:eastAsia="Calibri"/>
          <w:lang w:val="es-SV"/>
        </w:rPr>
      </w:pPr>
      <w:r w:rsidRPr="00264690">
        <w:rPr>
          <w:rFonts w:eastAsia="Calibri"/>
          <w:sz w:val="20"/>
          <w:lang w:val="es-SV"/>
        </w:rPr>
        <w:t xml:space="preserve">La Rendición de Cuentas “ResultadoSC 2009-2014”, </w:t>
      </w:r>
      <w:r>
        <w:rPr>
          <w:rFonts w:eastAsia="Calibri"/>
          <w:lang w:val="es-SV"/>
        </w:rPr>
        <w:t xml:space="preserve">presentada </w:t>
      </w:r>
      <w:r w:rsidRPr="00284422">
        <w:rPr>
          <w:rFonts w:eastAsia="Calibri"/>
          <w:lang w:val="es-SV"/>
        </w:rPr>
        <w:t xml:space="preserve">el 23 de septiembre durante la Semana de la Competencia, </w:t>
      </w:r>
      <w:r>
        <w:rPr>
          <w:rFonts w:eastAsia="Calibri"/>
          <w:lang w:val="es-SV"/>
        </w:rPr>
        <w:t>comprendió</w:t>
      </w:r>
      <w:r w:rsidRPr="00284422">
        <w:rPr>
          <w:rFonts w:eastAsia="Calibri"/>
          <w:lang w:val="es-SV"/>
        </w:rPr>
        <w:t xml:space="preserve"> los resultados del quinquenio presidencial </w:t>
      </w:r>
      <w:r>
        <w:rPr>
          <w:rFonts w:eastAsia="Calibri"/>
          <w:lang w:val="es-SV"/>
        </w:rPr>
        <w:t>2009-</w:t>
      </w:r>
      <w:r w:rsidRPr="00284422">
        <w:rPr>
          <w:rFonts w:eastAsia="Calibri"/>
          <w:lang w:val="es-SV"/>
        </w:rPr>
        <w:t>2014.</w:t>
      </w:r>
    </w:p>
    <w:p w:rsidR="009655B2" w:rsidRPr="00284422" w:rsidRDefault="009655B2" w:rsidP="009655B2">
      <w:pPr>
        <w:ind w:left="-142" w:right="-143"/>
        <w:rPr>
          <w:rFonts w:eastAsia="Calibri"/>
          <w:lang w:val="es-SV"/>
        </w:rPr>
      </w:pPr>
    </w:p>
    <w:p w:rsidR="009655B2" w:rsidRPr="00284422" w:rsidRDefault="009655B2" w:rsidP="009655B2">
      <w:pPr>
        <w:ind w:left="-142" w:right="-143"/>
        <w:rPr>
          <w:rFonts w:eastAsia="Calibri"/>
          <w:lang w:val="es-SV"/>
        </w:rPr>
      </w:pPr>
      <w:r w:rsidRPr="00284422">
        <w:rPr>
          <w:rFonts w:eastAsia="Calibri"/>
          <w:lang w:val="es-SV"/>
        </w:rPr>
        <w:t xml:space="preserve">La presentación nuevamente fue innovadora, </w:t>
      </w:r>
      <w:r>
        <w:rPr>
          <w:rFonts w:eastAsia="Calibri"/>
          <w:lang w:val="es-SV"/>
        </w:rPr>
        <w:t xml:space="preserve">esta vez </w:t>
      </w:r>
      <w:r w:rsidRPr="00284422">
        <w:rPr>
          <w:rFonts w:eastAsia="Calibri"/>
          <w:lang w:val="es-SV"/>
        </w:rPr>
        <w:t>al contar con un mecanismo de evaluación en tiempo real. La Secretaría de Participación Ciudadana</w:t>
      </w:r>
      <w:r>
        <w:rPr>
          <w:rFonts w:eastAsia="Calibri"/>
          <w:lang w:val="es-SV"/>
        </w:rPr>
        <w:t xml:space="preserve">, </w:t>
      </w:r>
      <w:r w:rsidRPr="00284422">
        <w:rPr>
          <w:rFonts w:eastAsia="Calibri"/>
          <w:lang w:val="es-SV"/>
        </w:rPr>
        <w:t xml:space="preserve">Transparencia y Anticorrupción seleccionó a la SC para desarrollar la prueba piloto de evaluación. El 87% de los asistentes calificó la Rendición de Cuentas con notas de 8 al 10. </w:t>
      </w:r>
    </w:p>
    <w:p w:rsidR="009655B2" w:rsidRPr="00284422" w:rsidRDefault="009655B2" w:rsidP="009655B2">
      <w:pPr>
        <w:ind w:left="-142" w:right="-143"/>
        <w:rPr>
          <w:rFonts w:eastAsia="Calibri"/>
          <w:lang w:val="es-SV"/>
        </w:rPr>
      </w:pPr>
    </w:p>
    <w:p w:rsidR="009655B2" w:rsidRPr="00284422" w:rsidRDefault="009655B2" w:rsidP="009655B2">
      <w:pPr>
        <w:ind w:left="-142" w:right="-143"/>
        <w:rPr>
          <w:rFonts w:eastAsia="Calibri"/>
          <w:lang w:val="es-SV"/>
        </w:rPr>
      </w:pPr>
      <w:r>
        <w:rPr>
          <w:rFonts w:eastAsia="Calibri"/>
          <w:lang w:val="es-SV"/>
        </w:rPr>
        <w:t>A la Rendición</w:t>
      </w:r>
      <w:r w:rsidRPr="00284422">
        <w:rPr>
          <w:rFonts w:eastAsia="Calibri"/>
          <w:lang w:val="es-SV"/>
        </w:rPr>
        <w:t xml:space="preserve"> asistieron representantes del sector gubernamental, privado y académico</w:t>
      </w:r>
      <w:r>
        <w:rPr>
          <w:rFonts w:eastAsia="Calibri"/>
          <w:lang w:val="es-SV"/>
        </w:rPr>
        <w:t>;</w:t>
      </w:r>
      <w:r w:rsidRPr="00284422">
        <w:rPr>
          <w:rFonts w:eastAsia="Calibri"/>
          <w:lang w:val="es-SV"/>
        </w:rPr>
        <w:t xml:space="preserve"> se transmitió en vivo a través del sitio web institucional, </w:t>
      </w:r>
      <w:r>
        <w:rPr>
          <w:rFonts w:eastAsia="Calibri"/>
          <w:lang w:val="es-SV"/>
        </w:rPr>
        <w:t xml:space="preserve">y </w:t>
      </w:r>
      <w:r w:rsidRPr="00284422">
        <w:rPr>
          <w:rFonts w:eastAsia="Calibri"/>
          <w:lang w:val="es-SV"/>
        </w:rPr>
        <w:t xml:space="preserve">además contó con la interpretación de lenguaje de señas. </w:t>
      </w:r>
    </w:p>
    <w:p w:rsidR="009655B2" w:rsidRPr="00284422" w:rsidRDefault="007C6FD5" w:rsidP="009655B2">
      <w:pPr>
        <w:ind w:left="-142" w:right="-143"/>
        <w:rPr>
          <w:rFonts w:eastAsia="Calibri"/>
          <w:lang w:val="es-SV"/>
        </w:rPr>
      </w:pPr>
      <w:r>
        <w:rPr>
          <w:rFonts w:eastAsia="Calibri"/>
          <w:noProof/>
          <w:lang w:val="es-SV"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-1037335</wp:posOffset>
            </wp:positionH>
            <wp:positionV relativeFrom="paragraph">
              <wp:posOffset>35576</wp:posOffset>
            </wp:positionV>
            <wp:extent cx="7699911" cy="3289465"/>
            <wp:effectExtent l="19050" t="0" r="0" b="0"/>
            <wp:wrapNone/>
            <wp:docPr id="3" name="Picture 3" descr="Z:\__AreaCompartidaSC\fotos memoria\RC2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AreaCompartidaSC\fotos memoria\RC201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8" b="22289"/>
                    <a:stretch/>
                  </pic:blipFill>
                  <pic:spPr bwMode="auto">
                    <a:xfrm>
                      <a:off x="0" y="0"/>
                      <a:ext cx="7699911" cy="32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9655B2" w:rsidRDefault="009655B2" w:rsidP="009655B2">
      <w:pPr>
        <w:ind w:left="-142" w:right="-143"/>
        <w:jc w:val="center"/>
        <w:rPr>
          <w:lang w:val="es-SV"/>
        </w:rPr>
      </w:pPr>
    </w:p>
    <w:p w:rsidR="009655B2" w:rsidRDefault="009655B2" w:rsidP="009655B2">
      <w:pPr>
        <w:ind w:left="-142" w:right="-143"/>
        <w:jc w:val="center"/>
        <w:rPr>
          <w:lang w:val="es-SV"/>
        </w:rPr>
      </w:pPr>
    </w:p>
    <w:p w:rsidR="009655B2" w:rsidRDefault="009655B2" w:rsidP="009655B2">
      <w:pPr>
        <w:ind w:left="-142" w:right="-143"/>
        <w:jc w:val="center"/>
        <w:rPr>
          <w:lang w:val="es-SV"/>
        </w:rPr>
      </w:pPr>
    </w:p>
    <w:p w:rsidR="009655B2" w:rsidRDefault="009655B2" w:rsidP="009655B2">
      <w:pPr>
        <w:ind w:left="-142" w:right="-143"/>
        <w:jc w:val="center"/>
        <w:rPr>
          <w:lang w:val="es-SV"/>
        </w:rPr>
      </w:pPr>
    </w:p>
    <w:p w:rsidR="009655B2" w:rsidRDefault="009655B2" w:rsidP="009655B2">
      <w:pPr>
        <w:ind w:left="-142" w:right="-143"/>
        <w:jc w:val="center"/>
        <w:rPr>
          <w:lang w:val="es-SV"/>
        </w:rPr>
      </w:pPr>
    </w:p>
    <w:p w:rsidR="009655B2" w:rsidRDefault="009655B2" w:rsidP="009655B2">
      <w:pPr>
        <w:ind w:left="-142" w:right="-143"/>
        <w:jc w:val="center"/>
        <w:rPr>
          <w:lang w:val="es-SV"/>
        </w:rPr>
      </w:pPr>
    </w:p>
    <w:p w:rsidR="009655B2" w:rsidRDefault="009655B2" w:rsidP="009655B2">
      <w:pPr>
        <w:ind w:left="-142" w:right="-143"/>
        <w:jc w:val="center"/>
        <w:rPr>
          <w:lang w:val="es-SV"/>
        </w:rPr>
      </w:pPr>
    </w:p>
    <w:p w:rsidR="009655B2" w:rsidRDefault="009655B2" w:rsidP="009655B2">
      <w:pPr>
        <w:ind w:left="-142" w:right="-143"/>
        <w:jc w:val="center"/>
        <w:rPr>
          <w:lang w:val="es-SV"/>
        </w:rPr>
      </w:pPr>
    </w:p>
    <w:p w:rsidR="009655B2" w:rsidRDefault="009655B2" w:rsidP="009655B2">
      <w:pPr>
        <w:ind w:left="-142" w:right="-143"/>
        <w:jc w:val="center"/>
        <w:rPr>
          <w:lang w:val="es-SV"/>
        </w:rPr>
      </w:pPr>
    </w:p>
    <w:p w:rsidR="009655B2" w:rsidRPr="00284422" w:rsidRDefault="009655B2" w:rsidP="009655B2">
      <w:pPr>
        <w:ind w:left="-142" w:right="-143"/>
        <w:jc w:val="center"/>
        <w:rPr>
          <w:lang w:val="es-SV"/>
        </w:rPr>
      </w:pPr>
    </w:p>
    <w:p w:rsidR="009655B2" w:rsidRPr="00284422" w:rsidRDefault="009655B2" w:rsidP="009655B2">
      <w:pPr>
        <w:pStyle w:val="Sinespaciado"/>
        <w:ind w:left="-142" w:right="-143"/>
        <w:rPr>
          <w:lang w:val="es-SV"/>
        </w:rPr>
      </w:pPr>
    </w:p>
    <w:p w:rsidR="009655B2" w:rsidRDefault="009655B2" w:rsidP="009655B2">
      <w:pPr>
        <w:pStyle w:val="Sinespaciado"/>
        <w:ind w:left="-142" w:right="-143"/>
        <w:rPr>
          <w:lang w:val="es-SV"/>
        </w:rPr>
      </w:pPr>
      <w:bookmarkStart w:id="2" w:name="_Toc405473807"/>
    </w:p>
    <w:p w:rsidR="009655B2" w:rsidRDefault="009655B2" w:rsidP="009655B2">
      <w:pPr>
        <w:pStyle w:val="Sinespaciado"/>
        <w:ind w:left="-142" w:right="-143"/>
        <w:rPr>
          <w:lang w:val="es-SV"/>
        </w:rPr>
      </w:pPr>
    </w:p>
    <w:p w:rsidR="009655B2" w:rsidRDefault="009655B2" w:rsidP="009655B2">
      <w:pPr>
        <w:pStyle w:val="Sinespaciado"/>
        <w:ind w:left="-142" w:right="-143"/>
        <w:rPr>
          <w:lang w:val="es-SV"/>
        </w:rPr>
      </w:pPr>
    </w:p>
    <w:p w:rsidR="009655B2" w:rsidRDefault="009655B2" w:rsidP="009655B2">
      <w:pPr>
        <w:pStyle w:val="Sinespaciado"/>
        <w:ind w:left="-142" w:right="-143"/>
        <w:rPr>
          <w:lang w:val="es-SV"/>
        </w:rPr>
      </w:pPr>
    </w:p>
    <w:p w:rsidR="009655B2" w:rsidRDefault="009655B2" w:rsidP="009655B2">
      <w:pPr>
        <w:pStyle w:val="Sinespaciado"/>
        <w:ind w:left="-142" w:right="-143"/>
        <w:rPr>
          <w:lang w:val="es-SV"/>
        </w:rPr>
      </w:pPr>
    </w:p>
    <w:p w:rsidR="009655B2" w:rsidRDefault="009655B2" w:rsidP="009655B2">
      <w:pPr>
        <w:pStyle w:val="Sinespaciado"/>
        <w:ind w:left="-142" w:right="-143"/>
        <w:rPr>
          <w:lang w:val="es-SV"/>
        </w:rPr>
      </w:pPr>
    </w:p>
    <w:p w:rsidR="009655B2" w:rsidRDefault="009655B2" w:rsidP="009655B2">
      <w:pPr>
        <w:pStyle w:val="Sinespaciado"/>
        <w:ind w:left="-142" w:right="-143"/>
        <w:rPr>
          <w:lang w:val="es-SV"/>
        </w:rPr>
      </w:pPr>
    </w:p>
    <w:p w:rsidR="009655B2" w:rsidRPr="00284422" w:rsidRDefault="009655B2" w:rsidP="009655B2">
      <w:pPr>
        <w:pStyle w:val="Sinespaciado"/>
        <w:ind w:left="-142" w:right="-143"/>
        <w:rPr>
          <w:lang w:val="es-SV"/>
        </w:rPr>
      </w:pPr>
    </w:p>
    <w:p w:rsidR="007C6FD5" w:rsidRDefault="007C6FD5" w:rsidP="009655B2">
      <w:pPr>
        <w:pStyle w:val="Ttulo3"/>
        <w:ind w:right="-143"/>
        <w:rPr>
          <w:lang w:val="es-SV"/>
        </w:rPr>
      </w:pPr>
      <w:bookmarkStart w:id="3" w:name="_Toc307488702"/>
    </w:p>
    <w:p w:rsidR="009655B2" w:rsidRPr="00284422" w:rsidRDefault="009655B2" w:rsidP="009655B2">
      <w:pPr>
        <w:pStyle w:val="Ttulo3"/>
        <w:ind w:right="-143"/>
        <w:rPr>
          <w:lang w:val="es-SV"/>
        </w:rPr>
      </w:pPr>
      <w:r w:rsidRPr="00284422">
        <w:rPr>
          <w:lang w:val="es-SV"/>
        </w:rPr>
        <w:t>Concurso de ilustración “Acción por la Competencia”</w:t>
      </w:r>
      <w:bookmarkEnd w:id="2"/>
      <w:bookmarkEnd w:id="3"/>
    </w:p>
    <w:p w:rsidR="009655B2" w:rsidRPr="00284422" w:rsidRDefault="009655B2" w:rsidP="009655B2">
      <w:pPr>
        <w:ind w:left="-142" w:right="-143"/>
        <w:rPr>
          <w:lang w:val="es-SV"/>
        </w:rPr>
      </w:pPr>
    </w:p>
    <w:p w:rsidR="009655B2" w:rsidRPr="00284422" w:rsidRDefault="009655B2" w:rsidP="009655B2">
      <w:pPr>
        <w:ind w:left="-142" w:right="-143"/>
        <w:rPr>
          <w:rFonts w:cs="Optima"/>
          <w:color w:val="222222"/>
          <w:lang w:val="es-SV"/>
        </w:rPr>
      </w:pPr>
      <w:r w:rsidRPr="00284422">
        <w:rPr>
          <w:rFonts w:eastAsia="Calibri"/>
          <w:lang w:val="es-SV"/>
        </w:rPr>
        <w:t xml:space="preserve">Por segundo año consecutivo se realizó </w:t>
      </w:r>
      <w:r>
        <w:rPr>
          <w:rFonts w:eastAsia="Calibri"/>
          <w:lang w:val="es-SV"/>
        </w:rPr>
        <w:t xml:space="preserve">el </w:t>
      </w:r>
      <w:r w:rsidRPr="00284422">
        <w:rPr>
          <w:rFonts w:eastAsia="Calibri"/>
          <w:lang w:val="es-SV"/>
        </w:rPr>
        <w:t xml:space="preserve">concurso </w:t>
      </w:r>
      <w:r>
        <w:rPr>
          <w:rFonts w:eastAsia="Calibri"/>
          <w:lang w:val="es-SV"/>
        </w:rPr>
        <w:t>enfocado</w:t>
      </w:r>
      <w:r w:rsidRPr="00284422">
        <w:rPr>
          <w:rFonts w:eastAsia="Calibri"/>
          <w:lang w:val="es-SV"/>
        </w:rPr>
        <w:t xml:space="preserve"> en ilustrar la Ley de Competencia. El 31 de julio se premió al equipo ganador, conformado por Nataly Salazar y Néstor Castro, </w:t>
      </w:r>
      <w:r>
        <w:rPr>
          <w:rFonts w:eastAsia="Calibri"/>
          <w:lang w:val="es-SV"/>
        </w:rPr>
        <w:t>por</w:t>
      </w:r>
      <w:r w:rsidRPr="00284422">
        <w:rPr>
          <w:rFonts w:eastAsia="Calibri"/>
          <w:lang w:val="es-SV"/>
        </w:rPr>
        <w:t xml:space="preserve"> la ilustración “La Ley de Competencia. Prácticas anticompetitivas y las concentraciones económicas”.</w:t>
      </w:r>
      <w:r w:rsidRPr="00284422">
        <w:rPr>
          <w:rFonts w:cs="Optima"/>
          <w:color w:val="222222"/>
          <w:lang w:val="es-SV"/>
        </w:rPr>
        <w:t xml:space="preserve"> El premio </w:t>
      </w:r>
      <w:r>
        <w:rPr>
          <w:rFonts w:cs="Optima"/>
          <w:color w:val="222222"/>
          <w:lang w:val="es-SV"/>
        </w:rPr>
        <w:t>fue de</w:t>
      </w:r>
      <w:r w:rsidRPr="00284422">
        <w:rPr>
          <w:rFonts w:cs="Optima"/>
          <w:color w:val="222222"/>
          <w:lang w:val="es-SV"/>
        </w:rPr>
        <w:t xml:space="preserve"> </w:t>
      </w:r>
      <w:r w:rsidRPr="00284422">
        <w:rPr>
          <w:rFonts w:cs="Optima"/>
          <w:b/>
          <w:color w:val="222222"/>
          <w:lang w:val="es-SV"/>
        </w:rPr>
        <w:t>$1</w:t>
      </w:r>
      <w:r>
        <w:rPr>
          <w:rFonts w:cs="Optima"/>
          <w:b/>
          <w:color w:val="222222"/>
          <w:lang w:val="es-SV"/>
        </w:rPr>
        <w:t>,</w:t>
      </w:r>
      <w:r w:rsidRPr="00284422">
        <w:rPr>
          <w:rFonts w:cs="Optima"/>
          <w:b/>
          <w:color w:val="222222"/>
          <w:lang w:val="es-SV"/>
        </w:rPr>
        <w:t>000</w:t>
      </w:r>
      <w:r w:rsidRPr="00284422">
        <w:rPr>
          <w:rFonts w:cs="Optima"/>
          <w:color w:val="222222"/>
          <w:lang w:val="es-SV"/>
        </w:rPr>
        <w:t>.</w:t>
      </w:r>
    </w:p>
    <w:p w:rsidR="009655B2" w:rsidRPr="00284422" w:rsidRDefault="009655B2" w:rsidP="009655B2">
      <w:pPr>
        <w:pStyle w:val="Ttulo3"/>
        <w:ind w:right="-143"/>
        <w:rPr>
          <w:lang w:val="es-SV"/>
        </w:rPr>
      </w:pPr>
      <w:bookmarkStart w:id="4" w:name="_Toc307488703"/>
      <w:r w:rsidRPr="00284422">
        <w:rPr>
          <w:lang w:val="es-SV"/>
        </w:rPr>
        <w:t>Presentación de resultados del Estudio de las condiciones de competencia en el mercado de aceites y manteca</w:t>
      </w:r>
      <w:bookmarkEnd w:id="4"/>
    </w:p>
    <w:p w:rsidR="009655B2" w:rsidRPr="00284422" w:rsidRDefault="009655B2" w:rsidP="009655B2">
      <w:pPr>
        <w:pStyle w:val="Sinespaciado"/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rFonts w:eastAsiaTheme="minorHAnsi"/>
          <w:lang w:val="es-SV"/>
        </w:rPr>
      </w:pPr>
      <w:r>
        <w:rPr>
          <w:rFonts w:eastAsiaTheme="minorHAnsi"/>
          <w:lang w:val="es-SV"/>
        </w:rPr>
        <w:t>El</w:t>
      </w:r>
      <w:r w:rsidRPr="00284422">
        <w:rPr>
          <w:rFonts w:eastAsiaTheme="minorHAnsi"/>
          <w:lang w:val="es-SV"/>
        </w:rPr>
        <w:t xml:space="preserve"> 29 de julio</w:t>
      </w:r>
      <w:r>
        <w:rPr>
          <w:rFonts w:eastAsiaTheme="minorHAnsi"/>
          <w:lang w:val="es-SV"/>
        </w:rPr>
        <w:t>,</w:t>
      </w:r>
      <w:r w:rsidRPr="00284422">
        <w:rPr>
          <w:rFonts w:eastAsiaTheme="minorHAnsi"/>
          <w:lang w:val="es-SV"/>
        </w:rPr>
        <w:t xml:space="preserve"> la SC presentó los resultados del </w:t>
      </w:r>
      <w:r w:rsidRPr="00284422">
        <w:rPr>
          <w:rFonts w:cs="Arial"/>
          <w:lang w:val="es-SV"/>
        </w:rPr>
        <w:t>estudio “Condiciones de competencia en la producción y distribución de aceites y mantecas”</w:t>
      </w:r>
      <w:r>
        <w:rPr>
          <w:rFonts w:cs="Arial"/>
          <w:lang w:val="es-SV"/>
        </w:rPr>
        <w:t xml:space="preserve">. Se contó con la participación de </w:t>
      </w:r>
      <w:r w:rsidRPr="00284422">
        <w:rPr>
          <w:rFonts w:eastAsiaTheme="minorHAnsi"/>
          <w:b/>
          <w:lang w:val="es-SV"/>
        </w:rPr>
        <w:t>cuarenta y un</w:t>
      </w:r>
      <w:r>
        <w:rPr>
          <w:rFonts w:eastAsiaTheme="minorHAnsi"/>
          <w:b/>
          <w:lang w:val="es-SV"/>
        </w:rPr>
        <w:t xml:space="preserve"> </w:t>
      </w:r>
      <w:r>
        <w:rPr>
          <w:rFonts w:eastAsiaTheme="minorHAnsi"/>
          <w:lang w:val="es-SV"/>
        </w:rPr>
        <w:t xml:space="preserve">personas entre </w:t>
      </w:r>
      <w:r w:rsidRPr="00284422">
        <w:rPr>
          <w:rFonts w:eastAsiaTheme="minorHAnsi"/>
          <w:lang w:val="es-SV"/>
        </w:rPr>
        <w:t>empleados gubernamentales y agentes económicos del sector.</w:t>
      </w:r>
    </w:p>
    <w:p w:rsidR="009655B2" w:rsidRPr="00284422" w:rsidRDefault="009655B2" w:rsidP="009655B2">
      <w:pPr>
        <w:ind w:left="-142" w:right="-143"/>
        <w:rPr>
          <w:rFonts w:eastAsiaTheme="minorHAnsi"/>
          <w:lang w:val="es-SV"/>
        </w:rPr>
      </w:pPr>
    </w:p>
    <w:p w:rsidR="009655B2" w:rsidRDefault="009655B2" w:rsidP="009655B2">
      <w:pPr>
        <w:pStyle w:val="Sinespaciado"/>
        <w:ind w:left="-142" w:right="-143"/>
        <w:jc w:val="center"/>
        <w:rPr>
          <w:rFonts w:ascii="Optima" w:eastAsiaTheme="minorHAnsi" w:hAnsi="Optima"/>
          <w:lang w:val="es-SV"/>
        </w:rPr>
      </w:pPr>
      <w:r>
        <w:rPr>
          <w:rFonts w:eastAsiaTheme="minorHAnsi"/>
          <w:noProof/>
          <w:lang w:val="es-SV" w:eastAsia="es-SV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-1506220</wp:posOffset>
            </wp:positionH>
            <wp:positionV relativeFrom="paragraph">
              <wp:posOffset>19050</wp:posOffset>
            </wp:positionV>
            <wp:extent cx="8607425" cy="2868295"/>
            <wp:effectExtent l="0" t="0" r="3175" b="1905"/>
            <wp:wrapNone/>
            <wp:docPr id="31" name="Picture 31" descr="EDC:Users:Usuario:Desktop:07.29.2014_09.46.44 a.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C:Users:Usuario:Desktop:07.29.2014_09.46.44 a.m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9655B2" w:rsidRPr="0028442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pStyle w:val="Ttulo3"/>
        <w:ind w:left="-142" w:right="-143"/>
        <w:rPr>
          <w:lang w:val="es-SV"/>
        </w:rPr>
      </w:pPr>
    </w:p>
    <w:p w:rsidR="009655B2" w:rsidRDefault="009655B2" w:rsidP="009655B2"/>
    <w:p w:rsidR="009655B2" w:rsidRDefault="009655B2" w:rsidP="009655B2"/>
    <w:p w:rsidR="009655B2" w:rsidRDefault="009655B2" w:rsidP="009655B2"/>
    <w:p w:rsidR="009655B2" w:rsidRPr="00B5049F" w:rsidRDefault="009655B2" w:rsidP="009655B2"/>
    <w:p w:rsidR="009655B2" w:rsidRDefault="009655B2" w:rsidP="009655B2">
      <w:pPr>
        <w:pStyle w:val="Ttulo3"/>
        <w:ind w:left="-142" w:right="-143"/>
        <w:rPr>
          <w:lang w:val="es-SV"/>
        </w:rPr>
      </w:pPr>
    </w:p>
    <w:p w:rsidR="009655B2" w:rsidRDefault="009655B2" w:rsidP="009655B2">
      <w:pPr>
        <w:pStyle w:val="Ttulo3"/>
        <w:ind w:left="-142" w:right="-143"/>
        <w:rPr>
          <w:lang w:val="es-SV"/>
        </w:rPr>
      </w:pPr>
    </w:p>
    <w:p w:rsidR="009655B2" w:rsidRDefault="009655B2" w:rsidP="009655B2">
      <w:pPr>
        <w:pStyle w:val="Ttulo3"/>
        <w:ind w:left="-142" w:right="-143"/>
        <w:rPr>
          <w:lang w:val="es-SV"/>
        </w:rPr>
      </w:pPr>
    </w:p>
    <w:p w:rsidR="009655B2" w:rsidRDefault="009655B2" w:rsidP="009655B2">
      <w:pPr>
        <w:pStyle w:val="Ttulo3"/>
        <w:ind w:left="-142" w:right="-143"/>
        <w:rPr>
          <w:lang w:val="es-SV"/>
        </w:rPr>
      </w:pPr>
    </w:p>
    <w:p w:rsidR="009655B2" w:rsidRDefault="009655B2" w:rsidP="009655B2">
      <w:pPr>
        <w:pStyle w:val="Ttulo3"/>
        <w:ind w:left="-142" w:right="-143"/>
        <w:rPr>
          <w:lang w:val="es-SV"/>
        </w:rPr>
      </w:pPr>
    </w:p>
    <w:p w:rsidR="009655B2" w:rsidRDefault="009655B2" w:rsidP="009655B2">
      <w:pPr>
        <w:pStyle w:val="Ttulo3"/>
        <w:ind w:left="-142" w:right="-143"/>
        <w:rPr>
          <w:lang w:val="es-SV"/>
        </w:rPr>
      </w:pPr>
    </w:p>
    <w:p w:rsidR="009655B2" w:rsidRPr="00284422" w:rsidRDefault="009655B2" w:rsidP="009655B2">
      <w:pPr>
        <w:pStyle w:val="Ttulo3"/>
        <w:ind w:right="-143"/>
        <w:rPr>
          <w:lang w:val="es-SV"/>
        </w:rPr>
      </w:pPr>
      <w:bookmarkStart w:id="5" w:name="_Toc307488704"/>
      <w:r w:rsidRPr="00284422">
        <w:rPr>
          <w:lang w:val="es-SV"/>
        </w:rPr>
        <w:t>Reuniones informativas con líderes de opinión</w:t>
      </w:r>
      <w:bookmarkEnd w:id="5"/>
    </w:p>
    <w:p w:rsidR="009655B2" w:rsidRPr="00284422" w:rsidRDefault="009655B2" w:rsidP="009655B2">
      <w:pPr>
        <w:pStyle w:val="Sinespaciado"/>
        <w:ind w:left="-142" w:right="-143"/>
        <w:rPr>
          <w:lang w:val="es-SV"/>
        </w:rPr>
      </w:pPr>
    </w:p>
    <w:p w:rsidR="009655B2" w:rsidRPr="00284422" w:rsidRDefault="009655B2" w:rsidP="009655B2">
      <w:pPr>
        <w:ind w:left="-142" w:right="-143"/>
        <w:rPr>
          <w:lang w:val="es-SV"/>
        </w:rPr>
      </w:pPr>
      <w:r w:rsidRPr="00284422">
        <w:rPr>
          <w:lang w:val="es-SV"/>
        </w:rPr>
        <w:t>La Superintendencia continuó con el desarrollo de los acercamientos y reuniones informativas con líderes de opinión, entre ellos articulistas, analistas, empresarios, académicos</w:t>
      </w:r>
      <w:r>
        <w:rPr>
          <w:lang w:val="es-SV"/>
        </w:rPr>
        <w:t>,</w:t>
      </w:r>
      <w:r w:rsidRPr="00284422">
        <w:rPr>
          <w:lang w:val="es-SV"/>
        </w:rPr>
        <w:t xml:space="preserve"> representantes de gremiales, entre otros, </w:t>
      </w:r>
      <w:r>
        <w:rPr>
          <w:lang w:val="es-SV"/>
        </w:rPr>
        <w:t>con quienes se tuvo un amplio intercambio sobre el quehacer de la institución sobre</w:t>
      </w:r>
      <w:r w:rsidRPr="00284422">
        <w:rPr>
          <w:lang w:val="es-SV"/>
        </w:rPr>
        <w:t xml:space="preserve"> estudios sectoriales.</w:t>
      </w:r>
    </w:p>
    <w:p w:rsidR="009655B2" w:rsidRPr="0028442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jc w:val="center"/>
        <w:rPr>
          <w:lang w:val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-1092010</wp:posOffset>
            </wp:positionH>
            <wp:positionV relativeFrom="paragraph">
              <wp:posOffset>4866</wp:posOffset>
            </wp:positionV>
            <wp:extent cx="7864895" cy="2280062"/>
            <wp:effectExtent l="19050" t="0" r="2755" b="0"/>
            <wp:wrapNone/>
            <wp:docPr id="36" name="Picture 36" descr="EDC:Users:Usuario:Desktop:Captura de pantalla 2015-10-23 a las 15.5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C:Users:Usuario:Desktop:Captura de pantalla 2015-10-23 a las 15.50.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895" cy="228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9655B2" w:rsidRPr="00284422" w:rsidRDefault="009655B2" w:rsidP="009655B2">
      <w:pPr>
        <w:ind w:left="-142" w:right="-143"/>
        <w:jc w:val="center"/>
        <w:rPr>
          <w:lang w:val="es-SV"/>
        </w:rPr>
      </w:pPr>
    </w:p>
    <w:p w:rsidR="009655B2" w:rsidRPr="00284422" w:rsidRDefault="009655B2" w:rsidP="009655B2">
      <w:pPr>
        <w:ind w:left="-142" w:right="-143"/>
        <w:jc w:val="center"/>
        <w:rPr>
          <w:lang w:val="es-SV"/>
        </w:rPr>
      </w:pPr>
    </w:p>
    <w:p w:rsidR="009655B2" w:rsidRPr="00D313E0" w:rsidRDefault="009655B2" w:rsidP="009655B2">
      <w:pPr>
        <w:pStyle w:val="Ttulo3"/>
        <w:ind w:left="-142" w:right="-143"/>
        <w:rPr>
          <w:noProof/>
          <w:lang w:val="es-SV"/>
        </w:rPr>
      </w:pPr>
      <w:bookmarkStart w:id="6" w:name="_Toc374024008"/>
    </w:p>
    <w:p w:rsidR="009655B2" w:rsidRPr="00F43B35" w:rsidRDefault="009655B2" w:rsidP="009655B2"/>
    <w:p w:rsidR="009655B2" w:rsidRDefault="009655B2" w:rsidP="009655B2"/>
    <w:p w:rsidR="009655B2" w:rsidRDefault="009655B2" w:rsidP="009655B2"/>
    <w:p w:rsidR="009655B2" w:rsidRDefault="009655B2" w:rsidP="009655B2"/>
    <w:p w:rsidR="009655B2" w:rsidRDefault="009655B2" w:rsidP="009655B2"/>
    <w:p w:rsidR="009655B2" w:rsidRDefault="009655B2" w:rsidP="009655B2"/>
    <w:p w:rsidR="009655B2" w:rsidRDefault="009655B2" w:rsidP="009655B2"/>
    <w:bookmarkEnd w:id="6"/>
    <w:p w:rsidR="008B1FA9" w:rsidRDefault="008B1FA9"/>
    <w:p w:rsidR="009655B2" w:rsidRPr="007C6FD5" w:rsidRDefault="009655B2" w:rsidP="007C6FD5">
      <w:pPr>
        <w:pStyle w:val="Ttulo3"/>
        <w:ind w:left="-142" w:right="-143"/>
        <w:rPr>
          <w:lang w:val="es-SV"/>
        </w:rPr>
      </w:pPr>
      <w:bookmarkStart w:id="7" w:name="_Toc350521851"/>
      <w:bookmarkStart w:id="8" w:name="_Toc307488712"/>
      <w:r w:rsidRPr="007C6FD5">
        <w:rPr>
          <w:lang w:val="es-SV"/>
        </w:rPr>
        <w:t>Presencia de la SC en los medios de comunicación</w:t>
      </w:r>
      <w:bookmarkEnd w:id="7"/>
      <w:bookmarkEnd w:id="8"/>
    </w:p>
    <w:p w:rsidR="009655B2" w:rsidRPr="00284422" w:rsidRDefault="009655B2" w:rsidP="009655B2">
      <w:pPr>
        <w:ind w:left="-142" w:right="-143"/>
        <w:rPr>
          <w:lang w:val="es-SV"/>
        </w:rPr>
      </w:pPr>
    </w:p>
    <w:p w:rsidR="009655B2" w:rsidRPr="00284422" w:rsidRDefault="009655B2" w:rsidP="009655B2">
      <w:pPr>
        <w:ind w:left="-142" w:right="-143"/>
        <w:rPr>
          <w:lang w:val="es-SV"/>
        </w:rPr>
      </w:pPr>
      <w:r>
        <w:rPr>
          <w:lang w:val="es-SV"/>
        </w:rPr>
        <w:t>L</w:t>
      </w:r>
      <w:r w:rsidRPr="00674862">
        <w:rPr>
          <w:lang w:val="es-SV"/>
        </w:rPr>
        <w:t xml:space="preserve">a SC realizó diversas actividades de carácter informativo que resultaron en espacios noticiosos gratuitos en diferentes medios de comunicación. </w:t>
      </w:r>
    </w:p>
    <w:p w:rsidR="009655B2" w:rsidRDefault="009655B2" w:rsidP="009655B2">
      <w:pPr>
        <w:ind w:left="-142" w:right="-143"/>
        <w:rPr>
          <w:noProof/>
          <w:lang w:val="es-SV" w:eastAsia="es-SV"/>
        </w:rPr>
      </w:pPr>
      <w:r w:rsidRPr="00674862">
        <w:rPr>
          <w:noProof/>
          <w:lang w:val="es-SV" w:eastAsia="es-SV"/>
        </w:rPr>
        <w:tab/>
      </w:r>
    </w:p>
    <w:p w:rsidR="009655B2" w:rsidRDefault="009655B2" w:rsidP="009655B2">
      <w:pPr>
        <w:ind w:left="-142" w:right="-143"/>
        <w:rPr>
          <w:noProof/>
          <w:lang w:val="es-SV" w:eastAsia="es-SV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54610</wp:posOffset>
            </wp:positionV>
            <wp:extent cx="7594600" cy="2867660"/>
            <wp:effectExtent l="0" t="0" r="0" b="0"/>
            <wp:wrapNone/>
            <wp:docPr id="19" name="Picture 19" descr="EDC:Users:Usuario:Desktop:07.29.2014_09.48.22 a.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C:Users:Usuario:Desktop:07.29.2014_09.48.22 a.m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Default="009655B2" w:rsidP="009655B2">
      <w:pPr>
        <w:ind w:left="-142" w:right="-143"/>
        <w:rPr>
          <w:noProof/>
          <w:lang w:val="es-SV" w:eastAsia="es-SV"/>
        </w:rPr>
      </w:pPr>
    </w:p>
    <w:p w:rsidR="009655B2" w:rsidRPr="00284422" w:rsidRDefault="009655B2" w:rsidP="009655B2">
      <w:pPr>
        <w:ind w:left="-142" w:right="-143"/>
        <w:rPr>
          <w:noProof/>
          <w:lang w:val="es-SV" w:eastAsia="es-SV"/>
        </w:rPr>
      </w:pPr>
    </w:p>
    <w:p w:rsidR="009655B2" w:rsidRPr="00284422" w:rsidRDefault="009655B2" w:rsidP="009655B2">
      <w:pPr>
        <w:ind w:left="-142" w:right="-143"/>
        <w:rPr>
          <w:lang w:val="es-SV"/>
        </w:rPr>
      </w:pPr>
      <w:bookmarkStart w:id="9" w:name="_Toc405473812"/>
      <w:r w:rsidRPr="00674862">
        <w:rPr>
          <w:lang w:val="es-SV"/>
        </w:rPr>
        <w:t>Las actividades realizadas con la prensa fueron:</w:t>
      </w:r>
    </w:p>
    <w:p w:rsidR="009655B2" w:rsidRPr="00284422" w:rsidRDefault="009655B2" w:rsidP="009655B2">
      <w:pPr>
        <w:ind w:left="-142" w:right="-143"/>
        <w:rPr>
          <w:lang w:val="es-SV"/>
        </w:rPr>
      </w:pPr>
    </w:p>
    <w:p w:rsidR="009655B2" w:rsidRPr="00284422" w:rsidRDefault="009655B2" w:rsidP="009655B2">
      <w:pPr>
        <w:pStyle w:val="Prrafodelista"/>
        <w:numPr>
          <w:ilvl w:val="0"/>
          <w:numId w:val="1"/>
        </w:numPr>
        <w:tabs>
          <w:tab w:val="left" w:pos="5387"/>
        </w:tabs>
        <w:ind w:left="-142" w:right="-143"/>
        <w:rPr>
          <w:rFonts w:cs="HelveticaNeue-Roman"/>
          <w:lang w:val="es-SV"/>
        </w:rPr>
      </w:pPr>
      <w:r w:rsidRPr="00674862">
        <w:rPr>
          <w:b/>
          <w:lang w:val="es-SV"/>
        </w:rPr>
        <w:t>Comunicados de prensa:</w:t>
      </w:r>
      <w:bookmarkEnd w:id="9"/>
    </w:p>
    <w:p w:rsidR="009655B2" w:rsidRPr="00284422" w:rsidRDefault="009655B2" w:rsidP="009655B2">
      <w:pPr>
        <w:pStyle w:val="Prrafodelista"/>
        <w:numPr>
          <w:ilvl w:val="1"/>
          <w:numId w:val="1"/>
        </w:numPr>
        <w:tabs>
          <w:tab w:val="left" w:pos="5387"/>
        </w:tabs>
        <w:ind w:left="-142" w:right="-143"/>
        <w:rPr>
          <w:rFonts w:cs="HelveticaNeue-Roman"/>
          <w:lang w:val="es-SV"/>
        </w:rPr>
      </w:pPr>
      <w:r w:rsidRPr="00674862">
        <w:rPr>
          <w:rFonts w:cs="HelveticaNeue-Roman"/>
          <w:lang w:val="es-SV"/>
        </w:rPr>
        <w:t>Veintiocho comunicados de prensa</w:t>
      </w:r>
    </w:p>
    <w:p w:rsidR="009655B2" w:rsidRPr="00284422" w:rsidRDefault="009655B2" w:rsidP="009655B2">
      <w:pPr>
        <w:pStyle w:val="Prrafodelista"/>
        <w:tabs>
          <w:tab w:val="left" w:pos="5387"/>
        </w:tabs>
        <w:ind w:left="-142" w:right="-143"/>
        <w:rPr>
          <w:rFonts w:cs="HelveticaNeue-Roman"/>
          <w:lang w:val="es-SV"/>
        </w:rPr>
      </w:pPr>
    </w:p>
    <w:p w:rsidR="009655B2" w:rsidRPr="00284422" w:rsidRDefault="009655B2" w:rsidP="009655B2">
      <w:pPr>
        <w:pStyle w:val="Prrafodelista"/>
        <w:numPr>
          <w:ilvl w:val="0"/>
          <w:numId w:val="1"/>
        </w:numPr>
        <w:ind w:left="-142" w:right="-143"/>
        <w:rPr>
          <w:b/>
          <w:lang w:val="es-SV"/>
        </w:rPr>
      </w:pPr>
      <w:bookmarkStart w:id="10" w:name="_Toc405473813"/>
      <w:r w:rsidRPr="00674862">
        <w:rPr>
          <w:b/>
          <w:lang w:val="es-SV"/>
        </w:rPr>
        <w:t>Entrevistas con medios de comunicación:</w:t>
      </w:r>
      <w:bookmarkEnd w:id="10"/>
    </w:p>
    <w:p w:rsidR="009655B2" w:rsidRPr="00284422" w:rsidRDefault="009655B2" w:rsidP="009655B2">
      <w:pPr>
        <w:pStyle w:val="Prrafodelista"/>
        <w:numPr>
          <w:ilvl w:val="1"/>
          <w:numId w:val="1"/>
        </w:numPr>
        <w:tabs>
          <w:tab w:val="left" w:pos="5387"/>
        </w:tabs>
        <w:ind w:left="-142" w:right="-143"/>
        <w:rPr>
          <w:lang w:val="es-SV"/>
        </w:rPr>
      </w:pPr>
      <w:r w:rsidRPr="00674862">
        <w:rPr>
          <w:lang w:val="es-SV"/>
        </w:rPr>
        <w:t>Diecisiete entrevistas televisivas</w:t>
      </w:r>
    </w:p>
    <w:p w:rsidR="009655B2" w:rsidRPr="00284422" w:rsidRDefault="009655B2" w:rsidP="009655B2">
      <w:pPr>
        <w:pStyle w:val="Prrafodelista"/>
        <w:numPr>
          <w:ilvl w:val="1"/>
          <w:numId w:val="1"/>
        </w:numPr>
        <w:tabs>
          <w:tab w:val="left" w:pos="5387"/>
        </w:tabs>
        <w:ind w:left="-142" w:right="-143"/>
        <w:rPr>
          <w:lang w:val="es-SV"/>
        </w:rPr>
      </w:pPr>
      <w:r w:rsidRPr="00674862">
        <w:rPr>
          <w:lang w:val="es-SV"/>
        </w:rPr>
        <w:t>Doce entrevistas para medios impresos</w:t>
      </w:r>
    </w:p>
    <w:p w:rsidR="009655B2" w:rsidRPr="00284422" w:rsidRDefault="009655B2" w:rsidP="009655B2">
      <w:pPr>
        <w:pStyle w:val="Prrafodelista"/>
        <w:numPr>
          <w:ilvl w:val="1"/>
          <w:numId w:val="1"/>
        </w:numPr>
        <w:tabs>
          <w:tab w:val="left" w:pos="5387"/>
        </w:tabs>
        <w:ind w:left="-142" w:right="-143"/>
        <w:rPr>
          <w:lang w:val="es-SV"/>
        </w:rPr>
      </w:pPr>
      <w:r w:rsidRPr="00674862">
        <w:rPr>
          <w:lang w:val="es-SV"/>
        </w:rPr>
        <w:t>Diez entrevistas radiofónicas</w:t>
      </w:r>
    </w:p>
    <w:p w:rsidR="009655B2" w:rsidRPr="00284422" w:rsidRDefault="009655B2" w:rsidP="009655B2">
      <w:pPr>
        <w:pStyle w:val="Prrafodelista"/>
        <w:numPr>
          <w:ilvl w:val="1"/>
          <w:numId w:val="1"/>
        </w:numPr>
        <w:tabs>
          <w:tab w:val="left" w:pos="5387"/>
        </w:tabs>
        <w:ind w:left="-142" w:right="-143"/>
        <w:rPr>
          <w:lang w:val="es-SV"/>
        </w:rPr>
      </w:pPr>
      <w:r w:rsidRPr="00674862">
        <w:rPr>
          <w:lang w:val="es-SV"/>
        </w:rPr>
        <w:t>Trece conferencias de prensa</w:t>
      </w:r>
    </w:p>
    <w:p w:rsidR="009655B2" w:rsidRPr="00284422" w:rsidRDefault="009655B2" w:rsidP="009655B2">
      <w:pPr>
        <w:pStyle w:val="Prrafodelista"/>
        <w:numPr>
          <w:ilvl w:val="1"/>
          <w:numId w:val="1"/>
        </w:numPr>
        <w:tabs>
          <w:tab w:val="left" w:pos="5387"/>
        </w:tabs>
        <w:ind w:left="-142" w:right="-143"/>
        <w:rPr>
          <w:lang w:val="es-SV"/>
        </w:rPr>
      </w:pPr>
      <w:r w:rsidRPr="00674862">
        <w:rPr>
          <w:lang w:val="es-SV"/>
        </w:rPr>
        <w:t>Catorce artículos de opinión</w:t>
      </w:r>
    </w:p>
    <w:p w:rsidR="009655B2" w:rsidRDefault="009655B2" w:rsidP="009655B2">
      <w:pPr>
        <w:pStyle w:val="Ttulo3"/>
        <w:ind w:right="-143"/>
        <w:rPr>
          <w:lang w:val="es-SV"/>
        </w:rPr>
      </w:pPr>
    </w:p>
    <w:p w:rsidR="009655B2" w:rsidRPr="00284422" w:rsidRDefault="009655B2" w:rsidP="009655B2">
      <w:pPr>
        <w:pStyle w:val="Ttulo3"/>
        <w:ind w:left="-142" w:right="-143"/>
        <w:rPr>
          <w:lang w:val="es-SV"/>
        </w:rPr>
      </w:pPr>
      <w:bookmarkStart w:id="11" w:name="_Toc307488713"/>
      <w:r w:rsidRPr="00674862">
        <w:rPr>
          <w:lang w:val="es-SV"/>
        </w:rPr>
        <w:t xml:space="preserve">Estrategia digital </w:t>
      </w:r>
      <w:r>
        <w:rPr>
          <w:lang w:val="es-SV"/>
        </w:rPr>
        <w:t>de comunicación.</w:t>
      </w:r>
      <w:bookmarkEnd w:id="11"/>
    </w:p>
    <w:p w:rsidR="009655B2" w:rsidRPr="00284422" w:rsidRDefault="009655B2" w:rsidP="009655B2">
      <w:pPr>
        <w:pStyle w:val="Sinespaciado"/>
        <w:ind w:left="-142" w:right="-143"/>
        <w:rPr>
          <w:lang w:val="es-SV"/>
        </w:rPr>
      </w:pPr>
    </w:p>
    <w:p w:rsidR="009655B2" w:rsidRPr="00284422" w:rsidRDefault="009655B2" w:rsidP="009655B2">
      <w:pPr>
        <w:ind w:left="-142" w:right="-143"/>
        <w:rPr>
          <w:lang w:val="es-SV"/>
        </w:rPr>
      </w:pPr>
      <w:r>
        <w:rPr>
          <w:lang w:val="es-SV"/>
        </w:rPr>
        <w:lastRenderedPageBreak/>
        <w:t>La SC continuó su estrategia digital enfocada en devolver la información a la ciudadanía, a través de productos claves que de rápido acceso y con contenido de alto interés,  fácil comprensión y alto potencial de replicación. Incrementando el alcance de la promoción y divulgación de la competencia y fortaleciendo el posicionamiento de la institución.</w:t>
      </w: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Pr="00284422" w:rsidRDefault="009655B2" w:rsidP="009655B2">
      <w:pPr>
        <w:ind w:left="-142" w:right="-143"/>
        <w:rPr>
          <w:lang w:val="es-SV"/>
        </w:rPr>
      </w:pPr>
    </w:p>
    <w:p w:rsidR="009655B2" w:rsidRPr="00284422" w:rsidRDefault="009655B2" w:rsidP="009655B2">
      <w:pPr>
        <w:pStyle w:val="Prrafodelista"/>
        <w:numPr>
          <w:ilvl w:val="0"/>
          <w:numId w:val="2"/>
        </w:numPr>
        <w:ind w:left="-142" w:right="-143"/>
        <w:rPr>
          <w:b/>
          <w:lang w:val="es-SV"/>
        </w:rPr>
      </w:pPr>
      <w:r>
        <w:rPr>
          <w:b/>
          <w:lang w:val="es-SV"/>
        </w:rPr>
        <w:t>Nuevo Home</w:t>
      </w:r>
      <w:r w:rsidRPr="00674862">
        <w:rPr>
          <w:b/>
          <w:lang w:val="es-SV"/>
        </w:rPr>
        <w:t xml:space="preserve"> </w:t>
      </w:r>
      <w:r>
        <w:rPr>
          <w:b/>
          <w:lang w:val="es-SV"/>
        </w:rPr>
        <w:t>Web Oficial</w:t>
      </w:r>
    </w:p>
    <w:p w:rsidR="009655B2" w:rsidRPr="0028442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rPr>
          <w:lang w:val="es-MX"/>
        </w:rPr>
      </w:pPr>
      <w:r>
        <w:rPr>
          <w:lang w:val="es-MX"/>
        </w:rPr>
        <w:t>Se continuó con el desarrollo de la estrategia de ampliación de uso de herramientas digitales –que son de bajo costo– para promocionar la competencia y difundir información que genera la institución.</w:t>
      </w:r>
    </w:p>
    <w:p w:rsidR="009655B2" w:rsidRPr="00284422" w:rsidRDefault="009655B2" w:rsidP="009655B2">
      <w:pPr>
        <w:ind w:right="-143"/>
        <w:rPr>
          <w:lang w:val="es-SV"/>
        </w:rPr>
      </w:pPr>
    </w:p>
    <w:p w:rsidR="009655B2" w:rsidRDefault="009655B2" w:rsidP="009655B2">
      <w:pPr>
        <w:rPr>
          <w:lang w:val="es-MX"/>
        </w:rPr>
      </w:pPr>
      <w:r>
        <w:rPr>
          <w:lang w:val="es-MX"/>
        </w:rPr>
        <w:t xml:space="preserve">Al cierre del año, el incremento de visitas ascendió a un 73.4% en relación al año anterior. En total, el sitio web fue visitado </w:t>
      </w:r>
      <w:r w:rsidRPr="007048C2">
        <w:rPr>
          <w:b/>
          <w:lang w:val="es-MX"/>
        </w:rPr>
        <w:t>38 038</w:t>
      </w:r>
      <w:r>
        <w:rPr>
          <w:lang w:val="es-MX"/>
        </w:rPr>
        <w:t xml:space="preserve"> veces.</w:t>
      </w:r>
    </w:p>
    <w:p w:rsidR="009655B2" w:rsidRPr="00284422" w:rsidRDefault="009655B2" w:rsidP="009655B2">
      <w:pPr>
        <w:ind w:right="-143"/>
        <w:rPr>
          <w:lang w:val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-1219200</wp:posOffset>
            </wp:positionH>
            <wp:positionV relativeFrom="paragraph">
              <wp:posOffset>109220</wp:posOffset>
            </wp:positionV>
            <wp:extent cx="7799705" cy="4393565"/>
            <wp:effectExtent l="0" t="0" r="0" b="635"/>
            <wp:wrapNone/>
            <wp:docPr id="8" name="Picture 8" descr="EDC:Users:Usuario:Desktop:Sitio web SC antes y despues:Sitio web SC antes y despues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C:Users:Usuario:Desktop:Sitio web SC antes y despues:Sitio web SC antes y despues.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Pr="0028442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  <w:bookmarkStart w:id="12" w:name="_Toc405473808"/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sz w:val="18"/>
          <w:szCs w:val="18"/>
          <w:lang w:val="es-SV"/>
        </w:rPr>
      </w:pPr>
    </w:p>
    <w:p w:rsidR="009655B2" w:rsidRDefault="009655B2" w:rsidP="009655B2">
      <w:pPr>
        <w:ind w:left="-142" w:right="-143"/>
        <w:rPr>
          <w:sz w:val="18"/>
          <w:szCs w:val="18"/>
          <w:lang w:val="es-SV"/>
        </w:rPr>
      </w:pPr>
    </w:p>
    <w:p w:rsidR="009655B2" w:rsidRDefault="009655B2" w:rsidP="009655B2">
      <w:pPr>
        <w:ind w:left="-142" w:right="-143"/>
        <w:rPr>
          <w:sz w:val="18"/>
          <w:szCs w:val="18"/>
          <w:lang w:val="es-SV"/>
        </w:rPr>
      </w:pPr>
    </w:p>
    <w:p w:rsidR="009655B2" w:rsidRDefault="009655B2" w:rsidP="009655B2">
      <w:pPr>
        <w:ind w:left="-142" w:right="-143"/>
        <w:rPr>
          <w:sz w:val="18"/>
          <w:szCs w:val="18"/>
          <w:lang w:val="es-SV"/>
        </w:rPr>
      </w:pPr>
    </w:p>
    <w:p w:rsidR="009655B2" w:rsidRDefault="009655B2" w:rsidP="009655B2">
      <w:pPr>
        <w:ind w:left="-142" w:right="-143"/>
        <w:rPr>
          <w:sz w:val="18"/>
          <w:szCs w:val="18"/>
          <w:lang w:val="es-SV"/>
        </w:rPr>
      </w:pPr>
    </w:p>
    <w:p w:rsidR="009655B2" w:rsidRDefault="009655B2" w:rsidP="009655B2">
      <w:pPr>
        <w:ind w:left="-142" w:right="-143"/>
        <w:rPr>
          <w:sz w:val="18"/>
          <w:szCs w:val="18"/>
          <w:lang w:val="es-SV"/>
        </w:rPr>
      </w:pPr>
      <w:r>
        <w:rPr>
          <w:sz w:val="18"/>
          <w:szCs w:val="18"/>
          <w:lang w:val="es-SV"/>
        </w:rPr>
        <w:t>*</w:t>
      </w:r>
      <w:r w:rsidRPr="004C167D">
        <w:rPr>
          <w:sz w:val="18"/>
          <w:szCs w:val="18"/>
          <w:lang w:val="es-SV"/>
        </w:rPr>
        <w:t xml:space="preserve">Imágenes del antes y después </w:t>
      </w:r>
      <w:r>
        <w:rPr>
          <w:sz w:val="18"/>
          <w:szCs w:val="18"/>
          <w:lang w:val="es-SV"/>
        </w:rPr>
        <w:t>del Home Web O</w:t>
      </w:r>
      <w:r w:rsidRPr="004C167D">
        <w:rPr>
          <w:sz w:val="18"/>
          <w:szCs w:val="18"/>
          <w:lang w:val="es-SV"/>
        </w:rPr>
        <w:t>ficial de la Superintendencia de Competencia</w:t>
      </w:r>
    </w:p>
    <w:p w:rsidR="009655B2" w:rsidRDefault="009655B2" w:rsidP="009655B2">
      <w:pPr>
        <w:ind w:left="-142" w:right="-143"/>
        <w:rPr>
          <w:sz w:val="18"/>
          <w:szCs w:val="18"/>
          <w:lang w:val="es-SV"/>
        </w:rPr>
      </w:pPr>
    </w:p>
    <w:p w:rsidR="009655B2" w:rsidRPr="004C167D" w:rsidRDefault="009655B2" w:rsidP="009655B2">
      <w:pPr>
        <w:ind w:left="-142" w:right="-143"/>
        <w:rPr>
          <w:sz w:val="18"/>
          <w:szCs w:val="18"/>
          <w:lang w:val="es-SV"/>
        </w:rPr>
      </w:pPr>
    </w:p>
    <w:bookmarkEnd w:id="12"/>
    <w:p w:rsidR="009655B2" w:rsidRPr="00284422" w:rsidRDefault="009655B2" w:rsidP="009655B2">
      <w:pPr>
        <w:pStyle w:val="Prrafodelista"/>
        <w:numPr>
          <w:ilvl w:val="0"/>
          <w:numId w:val="2"/>
        </w:numPr>
        <w:ind w:left="-142" w:right="-143"/>
        <w:rPr>
          <w:rFonts w:cs="HelveticaNeue-Heavy"/>
          <w:b/>
          <w:lang w:val="es-SV"/>
        </w:rPr>
      </w:pPr>
      <w:r>
        <w:rPr>
          <w:b/>
          <w:lang w:val="es-SV"/>
        </w:rPr>
        <w:t>Aplicación Casos en Línea.</w:t>
      </w:r>
    </w:p>
    <w:p w:rsidR="009655B2" w:rsidRPr="0028442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rPr>
          <w:lang w:val="es-MX"/>
        </w:rPr>
      </w:pPr>
      <w:r>
        <w:rPr>
          <w:lang w:val="es-MX"/>
        </w:rPr>
        <w:t xml:space="preserve">Lanzada en diciembre de 2013, la aplicación “Casos en Línea” fue presentada fuera de las fronteras salvadoreñas durante 2014. En septiembre fue mostrada a los representantes de instituciones homólogas que participaron en el Foro Iberoamericano de Competencia, celebrado en Uruguay; y posteriormente, en diciembre, fue compartida a los estudiantes de la XII Edición de la Escuela Iberoamericana de Competencia, organizada por la Comisión Nacional de los Mercados y la Competencia de España, en la ciudad de Madrid. </w:t>
      </w:r>
    </w:p>
    <w:p w:rsidR="007C6FD5" w:rsidRDefault="007C6FD5" w:rsidP="009655B2">
      <w:pPr>
        <w:rPr>
          <w:lang w:val="es-MX"/>
        </w:rPr>
      </w:pPr>
    </w:p>
    <w:p w:rsidR="009655B2" w:rsidRDefault="009655B2" w:rsidP="009655B2">
      <w:pPr>
        <w:rPr>
          <w:lang w:val="es-MX"/>
        </w:rPr>
      </w:pPr>
      <w:r>
        <w:rPr>
          <w:lang w:val="es-MX"/>
        </w:rPr>
        <w:t xml:space="preserve">Durante 2014, la SC trabajó por desarrollar la II Fase de esta aplicación, la cual se lanzará en 2015 e incluirá la totalidad de estudios de condiciones de competencia realizados por la institución desde su creación en 2006. </w:t>
      </w:r>
    </w:p>
    <w:p w:rsidR="009655B2" w:rsidRDefault="007C6FD5" w:rsidP="009655B2">
      <w:pPr>
        <w:ind w:left="-142" w:right="-143"/>
        <w:rPr>
          <w:lang w:val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-1098164</wp:posOffset>
            </wp:positionH>
            <wp:positionV relativeFrom="paragraph">
              <wp:posOffset>26769</wp:posOffset>
            </wp:positionV>
            <wp:extent cx="7734267" cy="3811979"/>
            <wp:effectExtent l="19050" t="0" r="33" b="0"/>
            <wp:wrapNone/>
            <wp:docPr id="18" name="Picture 18" descr="EDC:Users:Usuario:Desktop:BAnner-memo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C:Users:Usuario:Desktop:BAnner-memor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267" cy="38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Pr="0028442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sz w:val="18"/>
          <w:szCs w:val="18"/>
          <w:lang w:val="es-SV"/>
        </w:rPr>
      </w:pPr>
      <w:r>
        <w:rPr>
          <w:sz w:val="18"/>
          <w:szCs w:val="18"/>
          <w:lang w:val="es-SV"/>
        </w:rPr>
        <w:t xml:space="preserve">* interfaz de Casos en Línea, la 1er. Aplicación digital para la Defensa Social de la Competencia. </w:t>
      </w:r>
    </w:p>
    <w:p w:rsidR="009655B2" w:rsidRPr="00785866" w:rsidRDefault="009655B2" w:rsidP="009655B2">
      <w:pPr>
        <w:ind w:left="-142" w:right="-143"/>
        <w:rPr>
          <w:sz w:val="18"/>
          <w:szCs w:val="18"/>
          <w:lang w:val="es-SV"/>
        </w:rPr>
      </w:pPr>
    </w:p>
    <w:p w:rsidR="009655B2" w:rsidRPr="00284422" w:rsidRDefault="009655B2" w:rsidP="009655B2">
      <w:pPr>
        <w:pStyle w:val="Prrafodelista"/>
        <w:numPr>
          <w:ilvl w:val="0"/>
          <w:numId w:val="2"/>
        </w:numPr>
        <w:ind w:left="-142" w:right="-143"/>
        <w:rPr>
          <w:b/>
          <w:lang w:val="es-SV"/>
        </w:rPr>
      </w:pPr>
      <w:r>
        <w:rPr>
          <w:b/>
          <w:lang w:val="es-SV"/>
        </w:rPr>
        <w:t>SC News. El Canal de Noticias de Competencia.</w:t>
      </w:r>
    </w:p>
    <w:p w:rsidR="009655B2" w:rsidRPr="0028442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rPr>
          <w:lang w:val="es-MX"/>
        </w:rPr>
      </w:pPr>
      <w:r>
        <w:rPr>
          <w:lang w:val="es-MX"/>
        </w:rPr>
        <w:t xml:space="preserve">La SC lanzó en septiembre el primer servicio de noticias a escala internacional sobre competencia, una herramienta más para la difusión y generación de cultura de competencia. </w:t>
      </w:r>
    </w:p>
    <w:p w:rsidR="009655B2" w:rsidRDefault="009655B2" w:rsidP="009655B2">
      <w:pPr>
        <w:rPr>
          <w:lang w:val="es-MX"/>
        </w:rPr>
      </w:pPr>
    </w:p>
    <w:p w:rsidR="009655B2" w:rsidRDefault="009655B2" w:rsidP="009655B2">
      <w:pPr>
        <w:ind w:right="-143"/>
        <w:rPr>
          <w:lang w:val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324485</wp:posOffset>
            </wp:positionV>
            <wp:extent cx="7635240" cy="2980690"/>
            <wp:effectExtent l="19050" t="0" r="3810" b="0"/>
            <wp:wrapNone/>
            <wp:docPr id="1" name="Picture 1" descr="EDC:Users:Usuario:Desktop:Banner SC News:Banner SC News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C:Users:Usuario:Desktop:Banner SC News:Banner SC News.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3448" b="3448"/>
                    <a:stretch/>
                  </pic:blipFill>
                  <pic:spPr bwMode="auto">
                    <a:xfrm>
                      <a:off x="0" y="0"/>
                      <a:ext cx="763524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s-MX"/>
        </w:rPr>
        <w:t xml:space="preserve">En tres meses de funcionamiento, este servicio, el cual se alimenta permanentemente, recibió </w:t>
      </w:r>
      <w:r>
        <w:rPr>
          <w:b/>
          <w:lang w:val="es-MX"/>
        </w:rPr>
        <w:t xml:space="preserve">8 </w:t>
      </w:r>
      <w:r w:rsidRPr="00AE040C">
        <w:rPr>
          <w:b/>
          <w:lang w:val="es-MX"/>
        </w:rPr>
        <w:t>330 visitas</w:t>
      </w: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right="-143"/>
        <w:rPr>
          <w:sz w:val="18"/>
          <w:szCs w:val="18"/>
          <w:lang w:val="es-SV"/>
        </w:rPr>
      </w:pPr>
    </w:p>
    <w:p w:rsidR="009655B2" w:rsidRPr="004C167D" w:rsidRDefault="009655B2" w:rsidP="009655B2">
      <w:pPr>
        <w:ind w:right="-143"/>
        <w:rPr>
          <w:sz w:val="18"/>
          <w:szCs w:val="18"/>
          <w:lang w:val="es-SV"/>
        </w:rPr>
      </w:pPr>
      <w:r>
        <w:rPr>
          <w:sz w:val="18"/>
          <w:szCs w:val="18"/>
          <w:lang w:val="es-SV"/>
        </w:rPr>
        <w:t>* SC News: Canal digital de noticias sobre competencia.</w:t>
      </w:r>
    </w:p>
    <w:p w:rsidR="009655B2" w:rsidRPr="00284422" w:rsidRDefault="009655B2" w:rsidP="009655B2">
      <w:pPr>
        <w:pStyle w:val="Prrafodelista"/>
        <w:numPr>
          <w:ilvl w:val="0"/>
          <w:numId w:val="2"/>
        </w:numPr>
        <w:ind w:left="-142" w:right="-143"/>
        <w:rPr>
          <w:b/>
          <w:lang w:val="es-SV"/>
        </w:rPr>
      </w:pPr>
      <w:r>
        <w:rPr>
          <w:b/>
          <w:lang w:val="es-SV"/>
        </w:rPr>
        <w:t>Redes Sociales</w:t>
      </w:r>
    </w:p>
    <w:p w:rsidR="009655B2" w:rsidRPr="0028442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rPr>
          <w:lang w:val="es-MX"/>
        </w:rPr>
      </w:pPr>
      <w:r>
        <w:rPr>
          <w:lang w:val="es-MX"/>
        </w:rPr>
        <w:t xml:space="preserve">El uso estratégico de las redes sociales permitió un crecimiento en la cantidad de seguidores durante 2014. En Facebook se consolidó un incremento del 11.3% en el número de fans, alcanzando al cierre de año los </w:t>
      </w:r>
      <w:r w:rsidRPr="007048C2">
        <w:rPr>
          <w:b/>
          <w:lang w:val="es-MX"/>
        </w:rPr>
        <w:t>2 905</w:t>
      </w:r>
      <w:r>
        <w:rPr>
          <w:lang w:val="es-MX"/>
        </w:rPr>
        <w:t xml:space="preserve">; mientras que en Twitter, los seguidores crecieron 35.4%, llegando a </w:t>
      </w:r>
      <w:r w:rsidRPr="007048C2">
        <w:rPr>
          <w:b/>
          <w:lang w:val="es-MX"/>
        </w:rPr>
        <w:t>4 553</w:t>
      </w:r>
      <w:r>
        <w:rPr>
          <w:lang w:val="es-MX"/>
        </w:rPr>
        <w:t>.</w:t>
      </w:r>
    </w:p>
    <w:p w:rsidR="009655B2" w:rsidRDefault="009655B2" w:rsidP="009655B2">
      <w:pPr>
        <w:ind w:left="-142" w:right="-143"/>
        <w:rPr>
          <w:lang w:val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-1078230</wp:posOffset>
            </wp:positionH>
            <wp:positionV relativeFrom="paragraph">
              <wp:posOffset>102658</wp:posOffset>
            </wp:positionV>
            <wp:extent cx="7584440" cy="2812415"/>
            <wp:effectExtent l="0" t="0" r="0" b="0"/>
            <wp:wrapNone/>
            <wp:docPr id="10" name="Picture 10" descr="EDC:Users:Usuario:Desktop:Banner estadisticas redes sociales:Banner estadisticas redes sociales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C:Users:Usuario:Desktop:Banner estadisticas redes sociales:Banner estadisticas redes sociales.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918"/>
                    <a:stretch/>
                  </pic:blipFill>
                  <pic:spPr bwMode="auto">
                    <a:xfrm>
                      <a:off x="0" y="0"/>
                      <a:ext cx="758444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/>
    <w:p w:rsidR="009655B2" w:rsidRDefault="009655B2" w:rsidP="009655B2">
      <w:pPr>
        <w:tabs>
          <w:tab w:val="left" w:pos="2835"/>
        </w:tabs>
      </w:pPr>
    </w:p>
    <w:p w:rsidR="009655B2" w:rsidRDefault="009655B2" w:rsidP="009655B2"/>
    <w:p w:rsidR="009655B2" w:rsidRDefault="009655B2" w:rsidP="009655B2"/>
    <w:p w:rsidR="009655B2" w:rsidRDefault="009655B2" w:rsidP="009655B2"/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ind w:left="-142" w:right="-143"/>
        <w:rPr>
          <w:lang w:val="es-SV"/>
        </w:rPr>
      </w:pPr>
    </w:p>
    <w:p w:rsidR="009655B2" w:rsidRPr="00284422" w:rsidRDefault="009655B2" w:rsidP="009655B2">
      <w:pPr>
        <w:ind w:left="-142" w:right="-143"/>
        <w:rPr>
          <w:lang w:val="es-SV"/>
        </w:rPr>
      </w:pPr>
    </w:p>
    <w:p w:rsidR="009655B2" w:rsidRPr="00284422" w:rsidRDefault="009655B2" w:rsidP="009655B2">
      <w:pPr>
        <w:pStyle w:val="Prrafodelista"/>
        <w:numPr>
          <w:ilvl w:val="0"/>
          <w:numId w:val="2"/>
        </w:numPr>
        <w:ind w:left="-142" w:right="-143"/>
        <w:rPr>
          <w:b/>
          <w:lang w:val="es-SV"/>
        </w:rPr>
      </w:pPr>
      <w:r w:rsidRPr="00674862">
        <w:rPr>
          <w:b/>
          <w:lang w:val="es-SV"/>
        </w:rPr>
        <w:t>El Blog de la Competencia</w:t>
      </w:r>
    </w:p>
    <w:p w:rsidR="009655B2" w:rsidRPr="0028442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rPr>
          <w:lang w:val="es-SV"/>
        </w:rPr>
      </w:pPr>
    </w:p>
    <w:p w:rsidR="009655B2" w:rsidRDefault="009655B2" w:rsidP="009655B2">
      <w:pPr>
        <w:rPr>
          <w:lang w:val="es-MX"/>
        </w:rPr>
      </w:pPr>
      <w:r w:rsidRPr="00674862">
        <w:rPr>
          <w:lang w:val="es-SV"/>
        </w:rPr>
        <w:t xml:space="preserve">En septiembre de 2014, la SC lanzó El Blog de la Competencia, un espacio en el que cada semana se presenta </w:t>
      </w:r>
      <w:r>
        <w:rPr>
          <w:lang w:val="es-MX"/>
        </w:rPr>
        <w:t>En septiembre de 2014, la SC lanzó El Blog de la Competencia, un espacio en el que cada semana se presenta un artículo sobre competencia, el cual es viralizado a través de las redes sociales.</w:t>
      </w:r>
    </w:p>
    <w:p w:rsidR="009655B2" w:rsidRDefault="009655B2" w:rsidP="009655B2">
      <w:pPr>
        <w:rPr>
          <w:lang w:val="es-MX"/>
        </w:rPr>
      </w:pPr>
      <w:r>
        <w:rPr>
          <w:lang w:val="es-MX"/>
        </w:rPr>
        <w:t xml:space="preserve"> </w:t>
      </w:r>
    </w:p>
    <w:p w:rsidR="009655B2" w:rsidRPr="007048C2" w:rsidRDefault="009655B2" w:rsidP="009655B2">
      <w:pPr>
        <w:rPr>
          <w:lang w:val="es-MX"/>
        </w:rPr>
      </w:pPr>
      <w:r>
        <w:rPr>
          <w:lang w:val="es-MX"/>
        </w:rPr>
        <w:t xml:space="preserve">Esta plataforma es publicada en la versión digital de la Revista El Economista, publicación que en su versión impresa circula mensualmente en todos los países de la región centroamericana. </w:t>
      </w:r>
    </w:p>
    <w:p w:rsidR="009655B2" w:rsidRDefault="009655B2" w:rsidP="009655B2">
      <w:pPr>
        <w:ind w:left="-142" w:right="-143"/>
        <w:rPr>
          <w:lang w:val="es-SV"/>
        </w:rPr>
      </w:pPr>
    </w:p>
    <w:p w:rsidR="009655B2" w:rsidRPr="00284422" w:rsidRDefault="009655B2" w:rsidP="009655B2">
      <w:pPr>
        <w:ind w:left="-142" w:right="-143"/>
        <w:rPr>
          <w:lang w:val="es-SV"/>
        </w:rPr>
      </w:pPr>
    </w:p>
    <w:p w:rsidR="009655B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pStyle w:val="Prrafodelista"/>
        <w:ind w:left="-142" w:right="-143"/>
        <w:rPr>
          <w:lang w:val="es-SV"/>
        </w:rPr>
      </w:pPr>
    </w:p>
    <w:p w:rsidR="009655B2" w:rsidRDefault="009655B2" w:rsidP="009655B2">
      <w:pPr>
        <w:pStyle w:val="Prrafodelista"/>
        <w:ind w:left="-142" w:right="-143"/>
        <w:rPr>
          <w:lang w:val="es-SV"/>
        </w:rPr>
      </w:pPr>
    </w:p>
    <w:p w:rsidR="009655B2" w:rsidRPr="007C6FD5" w:rsidRDefault="009655B2" w:rsidP="007C6FD5">
      <w:pPr>
        <w:pStyle w:val="Ttulo3"/>
        <w:ind w:left="-142" w:right="-143"/>
        <w:rPr>
          <w:lang w:val="es-SV"/>
        </w:rPr>
      </w:pPr>
      <w:bookmarkStart w:id="13" w:name="_Toc307488714"/>
      <w:r w:rsidRPr="007C6FD5">
        <w:rPr>
          <w:lang w:val="es-SV"/>
        </w:rPr>
        <w:t>Participación en ferias</w:t>
      </w:r>
      <w:bookmarkEnd w:id="13"/>
    </w:p>
    <w:p w:rsidR="009655B2" w:rsidRPr="00284422" w:rsidRDefault="009655B2" w:rsidP="009655B2">
      <w:pPr>
        <w:pStyle w:val="Sinespaciado"/>
        <w:ind w:left="-142" w:right="-143"/>
        <w:rPr>
          <w:lang w:val="es-SV"/>
        </w:rPr>
      </w:pPr>
    </w:p>
    <w:p w:rsidR="009655B2" w:rsidRPr="00284422" w:rsidRDefault="009655B2" w:rsidP="009655B2">
      <w:pPr>
        <w:ind w:left="-142" w:right="-143"/>
        <w:rPr>
          <w:lang w:val="es-SV"/>
        </w:rPr>
      </w:pPr>
      <w:r>
        <w:rPr>
          <w:lang w:val="es-SV"/>
        </w:rPr>
        <w:t>Se</w:t>
      </w:r>
      <w:r w:rsidRPr="00674862">
        <w:rPr>
          <w:lang w:val="es-SV"/>
        </w:rPr>
        <w:t xml:space="preserve"> participó en </w:t>
      </w:r>
      <w:r w:rsidRPr="00674862">
        <w:rPr>
          <w:b/>
          <w:lang w:val="es-SV"/>
        </w:rPr>
        <w:t>dos</w:t>
      </w:r>
      <w:r w:rsidRPr="00674862">
        <w:rPr>
          <w:lang w:val="es-SV"/>
        </w:rPr>
        <w:t xml:space="preserve"> ferias en las que atendió consultas sobre competencia y brindó material promocional a estudiantes, empresarios y demás población interesada:</w:t>
      </w:r>
    </w:p>
    <w:p w:rsidR="009655B2" w:rsidRPr="00284422" w:rsidRDefault="009655B2" w:rsidP="009655B2">
      <w:pPr>
        <w:ind w:left="-142" w:right="-143"/>
        <w:rPr>
          <w:lang w:val="es-SV"/>
        </w:rPr>
      </w:pPr>
    </w:p>
    <w:p w:rsidR="009655B2" w:rsidRPr="00284422" w:rsidRDefault="009655B2" w:rsidP="009655B2">
      <w:pPr>
        <w:pStyle w:val="Prrafodelista"/>
        <w:numPr>
          <w:ilvl w:val="0"/>
          <w:numId w:val="3"/>
        </w:numPr>
        <w:ind w:left="-142" w:right="-143"/>
        <w:rPr>
          <w:lang w:val="es-SV"/>
        </w:rPr>
      </w:pPr>
      <w:r w:rsidRPr="00674862">
        <w:rPr>
          <w:lang w:val="es-SV"/>
        </w:rPr>
        <w:t>Feria de Transparencia y Lucha Contra la Corrupción, en mayo.</w:t>
      </w:r>
    </w:p>
    <w:p w:rsidR="009655B2" w:rsidRDefault="009655B2" w:rsidP="009655B2">
      <w:pPr>
        <w:pStyle w:val="Prrafodelista"/>
        <w:numPr>
          <w:ilvl w:val="0"/>
          <w:numId w:val="3"/>
        </w:numPr>
        <w:ind w:left="-142" w:right="-143"/>
        <w:rPr>
          <w:lang w:val="es-SV"/>
        </w:rPr>
      </w:pPr>
      <w:r w:rsidRPr="00674862">
        <w:rPr>
          <w:lang w:val="es-SV"/>
        </w:rPr>
        <w:t>Expo Feria del Sistema Nacional de Protección al Consumidor, en diciembre.</w:t>
      </w:r>
    </w:p>
    <w:p w:rsidR="009655B2" w:rsidRDefault="009655B2">
      <w:pPr>
        <w:rPr>
          <w:lang w:val="es-SV"/>
        </w:rPr>
      </w:pPr>
    </w:p>
    <w:p w:rsidR="009655B2" w:rsidRDefault="009655B2">
      <w:pPr>
        <w:rPr>
          <w:lang w:val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-1025525</wp:posOffset>
            </wp:positionH>
            <wp:positionV relativeFrom="paragraph">
              <wp:posOffset>46990</wp:posOffset>
            </wp:positionV>
            <wp:extent cx="7569200" cy="3811905"/>
            <wp:effectExtent l="19050" t="0" r="0" b="0"/>
            <wp:wrapNone/>
            <wp:docPr id="2" name="Picture 26" descr="DSC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2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398" b="33102"/>
                    <a:stretch/>
                  </pic:blipFill>
                  <pic:spPr bwMode="auto">
                    <a:xfrm>
                      <a:off x="0" y="0"/>
                      <a:ext cx="7569200" cy="381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9655B2" w:rsidRDefault="009655B2">
      <w:pPr>
        <w:rPr>
          <w:lang w:val="es-SV"/>
        </w:rPr>
      </w:pPr>
    </w:p>
    <w:p w:rsidR="009655B2" w:rsidRDefault="009655B2">
      <w:pPr>
        <w:rPr>
          <w:lang w:val="es-SV"/>
        </w:rPr>
      </w:pPr>
    </w:p>
    <w:p w:rsidR="009655B2" w:rsidRPr="009655B2" w:rsidRDefault="009655B2">
      <w:pPr>
        <w:rPr>
          <w:lang w:val="es-SV"/>
        </w:rPr>
      </w:pPr>
    </w:p>
    <w:sectPr w:rsidR="009655B2" w:rsidRPr="009655B2" w:rsidSect="008B1F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tim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Heavy">
    <w:altName w:val="Helvetica 85 Heav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3304"/>
    <w:multiLevelType w:val="hybridMultilevel"/>
    <w:tmpl w:val="7A0A50FE"/>
    <w:lvl w:ilvl="0" w:tplc="6B04D01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7942244"/>
    <w:multiLevelType w:val="hybridMultilevel"/>
    <w:tmpl w:val="25DCBE50"/>
    <w:lvl w:ilvl="0" w:tplc="6B04D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D02B1"/>
    <w:multiLevelType w:val="hybridMultilevel"/>
    <w:tmpl w:val="F9DC223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9655B2"/>
    <w:rsid w:val="001D0AE4"/>
    <w:rsid w:val="0071729E"/>
    <w:rsid w:val="007C6FD5"/>
    <w:rsid w:val="008B1FA9"/>
    <w:rsid w:val="00953CBD"/>
    <w:rsid w:val="00965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5B2"/>
    <w:pPr>
      <w:spacing w:after="0" w:line="240" w:lineRule="auto"/>
      <w:jc w:val="both"/>
    </w:pPr>
    <w:rPr>
      <w:rFonts w:ascii="Optima" w:eastAsiaTheme="minorEastAsia" w:hAnsi="Optima"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9655B2"/>
    <w:pPr>
      <w:keepNext/>
      <w:keepLines/>
      <w:spacing w:before="480"/>
      <w:outlineLvl w:val="1"/>
    </w:pPr>
    <w:rPr>
      <w:rFonts w:ascii="Arial" w:eastAsiaTheme="majorEastAsia" w:hAnsi="Arial" w:cstheme="majorBidi"/>
      <w:b/>
      <w:bCs/>
      <w:color w:val="73000E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655B2"/>
    <w:pPr>
      <w:keepNext/>
      <w:keepLines/>
      <w:spacing w:before="200"/>
      <w:outlineLvl w:val="2"/>
    </w:pPr>
    <w:rPr>
      <w:rFonts w:ascii="Arial" w:eastAsiaTheme="majorEastAsia" w:hAnsi="Arial" w:cstheme="majorBidi"/>
      <w:b/>
      <w:bCs/>
      <w:color w:val="948A54" w:themeColor="background2" w:themeShade="8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655B2"/>
    <w:rPr>
      <w:rFonts w:ascii="Arial" w:eastAsiaTheme="majorEastAsia" w:hAnsi="Arial" w:cstheme="majorBidi"/>
      <w:b/>
      <w:bCs/>
      <w:color w:val="73000E"/>
      <w:sz w:val="28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9655B2"/>
    <w:rPr>
      <w:rFonts w:ascii="Arial" w:eastAsiaTheme="majorEastAsia" w:hAnsi="Arial" w:cstheme="majorBidi"/>
      <w:b/>
      <w:bCs/>
      <w:color w:val="948A54" w:themeColor="background2" w:themeShade="80"/>
      <w:sz w:val="26"/>
      <w:lang w:val="es-ES"/>
    </w:rPr>
  </w:style>
  <w:style w:type="paragraph" w:styleId="Sinespaciado">
    <w:name w:val="No Spacing"/>
    <w:link w:val="SinespaciadoCar"/>
    <w:uiPriority w:val="1"/>
    <w:qFormat/>
    <w:rsid w:val="009655B2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655B2"/>
    <w:rPr>
      <w:rFonts w:eastAsiaTheme="minorEastAsia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9655B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9655B2"/>
    <w:rPr>
      <w:rFonts w:ascii="Optima" w:eastAsiaTheme="minorEastAsia" w:hAnsi="Optima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904</Words>
  <Characters>4974</Characters>
  <Application>Microsoft Office Word</Application>
  <DocSecurity>4</DocSecurity>
  <Lines>41</Lines>
  <Paragraphs>11</Paragraphs>
  <ScaleCrop>false</ScaleCrop>
  <Company>Microsoft</Company>
  <LinksUpToDate>false</LinksUpToDate>
  <CharactersWithSpaces>5867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kchinchilla</dc:creator>
  <cp:lastModifiedBy>ghenriquez</cp:lastModifiedBy>
  <cp:revision>2</cp:revision>
  <dcterms:created xsi:type="dcterms:W3CDTF">2015-11-09T19:52:00Z</dcterms:created>
  <dcterms:modified xsi:type="dcterms:W3CDTF">2015-11-09T19:52:00Z</dcterms:modified>
</cp:coreProperties>
</file>