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00122C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2-01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7744F9" w:rsidP="009F5BAD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Enero- diciembre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2015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F17442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urante el año 2015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línea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en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línea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83316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Enero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2351A9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dic</w:t>
                            </w:r>
                            <w:r w:rsidR="00B50DD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iembre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8A50DA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83316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Enero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="002351A9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dic</w:t>
                      </w:r>
                      <w:r w:rsidR="00B50DD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iembre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8A50DA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0E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B50DD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</w:t>
      </w:r>
      <w:r w:rsidR="00033B8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93</w:t>
      </w:r>
      <w:r w:rsidR="004A0792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033B8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261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0D1EE3">
      <w:pPr>
        <w:numPr>
          <w:ilvl w:val="0"/>
          <w:numId w:val="1"/>
        </w:numPr>
        <w:ind w:left="720"/>
        <w:contextualSpacing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>Un promedio de 3</w:t>
      </w:r>
      <w:r w:rsidR="00033B86">
        <w:rPr>
          <w:b/>
          <w:bCs/>
          <w:color w:val="595959" w:themeColor="text1" w:themeTint="A6"/>
          <w:sz w:val="24"/>
          <w:lang w:val="es-ES_tradnl"/>
        </w:rPr>
        <w:t>2</w:t>
      </w:r>
      <w:r w:rsidR="009148B6" w:rsidRPr="004841B3">
        <w:rPr>
          <w:b/>
          <w:bCs/>
          <w:color w:val="595959" w:themeColor="text1" w:themeTint="A6"/>
          <w:sz w:val="24"/>
          <w:lang w:val="es-ES_tradnl"/>
        </w:rPr>
        <w:t>,</w:t>
      </w:r>
      <w:r w:rsidR="00B50DDF">
        <w:rPr>
          <w:b/>
          <w:bCs/>
          <w:color w:val="595959" w:themeColor="text1" w:themeTint="A6"/>
          <w:sz w:val="24"/>
          <w:lang w:val="es-ES_tradnl"/>
        </w:rPr>
        <w:t>7</w:t>
      </w:r>
      <w:r w:rsidR="00033B86">
        <w:rPr>
          <w:b/>
          <w:bCs/>
          <w:color w:val="595959" w:themeColor="text1" w:themeTint="A6"/>
          <w:sz w:val="24"/>
          <w:lang w:val="es-ES_tradnl"/>
        </w:rPr>
        <w:t>72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2F562C">
      <w:pPr>
        <w:numPr>
          <w:ilvl w:val="0"/>
          <w:numId w:val="1"/>
        </w:numPr>
        <w:ind w:left="720"/>
        <w:contextualSpacing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2B2C09">
        <w:rPr>
          <w:bCs/>
          <w:color w:val="595959" w:themeColor="text1" w:themeTint="A6"/>
          <w:sz w:val="24"/>
          <w:lang w:val="es-ES_tradnl"/>
        </w:rPr>
        <w:t>4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4C64E7">
        <w:rPr>
          <w:bCs/>
          <w:color w:val="595959" w:themeColor="text1" w:themeTint="A6"/>
          <w:sz w:val="24"/>
          <w:lang w:val="es-ES_tradnl"/>
        </w:rPr>
        <w:t>08</w:t>
      </w:r>
      <w:r w:rsidR="00FF4EEB" w:rsidRPr="004841B3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en el sitio lo que evidencia que el cliente realiza transacciones y consultas. </w:t>
      </w:r>
    </w:p>
    <w:p w:rsidR="00C168E5" w:rsidRPr="004841B3" w:rsidRDefault="00DA181A" w:rsidP="00C168E5">
      <w:pPr>
        <w:numPr>
          <w:ilvl w:val="0"/>
          <w:numId w:val="1"/>
        </w:numPr>
        <w:ind w:left="720"/>
        <w:contextualSpacing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>
        <w:rPr>
          <w:b/>
          <w:bCs/>
          <w:color w:val="595959" w:themeColor="text1" w:themeTint="A6"/>
          <w:sz w:val="24"/>
          <w:lang w:val="es-ES_tradnl"/>
        </w:rPr>
        <w:t xml:space="preserve"> 58</w:t>
      </w:r>
      <w:r w:rsidR="00CD2EAD" w:rsidRPr="004841B3">
        <w:rPr>
          <w:b/>
          <w:bCs/>
          <w:color w:val="595959" w:themeColor="text1" w:themeTint="A6"/>
          <w:sz w:val="24"/>
          <w:lang w:val="es-ES_tradnl"/>
        </w:rPr>
        <w:t>.</w:t>
      </w:r>
      <w:r w:rsidR="004C64E7">
        <w:rPr>
          <w:b/>
          <w:bCs/>
          <w:color w:val="595959" w:themeColor="text1" w:themeTint="A6"/>
          <w:sz w:val="24"/>
          <w:lang w:val="es-ES_tradnl"/>
        </w:rPr>
        <w:t>96</w:t>
      </w:r>
      <w:r w:rsidR="000D1EE3" w:rsidRPr="004841B3">
        <w:rPr>
          <w:b/>
          <w:bCs/>
          <w:color w:val="595959" w:themeColor="text1" w:themeTint="A6"/>
          <w:sz w:val="24"/>
          <w:lang w:val="es-ES_tradnl"/>
        </w:rPr>
        <w:t>% de visitas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4841B3">
        <w:rPr>
          <w:bCs/>
          <w:color w:val="595959" w:themeColor="text1" w:themeTint="A6"/>
          <w:sz w:val="24"/>
          <w:lang w:val="es-ES_tradnl"/>
        </w:rPr>
        <w:t xml:space="preserve">, </w:t>
      </w:r>
      <w:r w:rsidR="005548BC" w:rsidRPr="00B63399">
        <w:rPr>
          <w:bCs/>
          <w:color w:val="595959" w:themeColor="text1" w:themeTint="A6"/>
          <w:sz w:val="24"/>
          <w:lang w:val="es-ES_tradnl"/>
        </w:rPr>
        <w:t>de</w:t>
      </w:r>
      <w:r w:rsidR="00FE76B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B63399">
        <w:rPr>
          <w:bCs/>
          <w:color w:val="595959" w:themeColor="text1" w:themeTint="A6"/>
          <w:sz w:val="24"/>
          <w:lang w:val="es-ES_tradnl"/>
        </w:rPr>
        <w:t>,</w:t>
      </w:r>
      <w:r w:rsidR="000D1EE3" w:rsidRPr="00B63399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4C64E7">
        <w:rPr>
          <w:b/>
          <w:bCs/>
          <w:color w:val="595959" w:themeColor="text1" w:themeTint="A6"/>
          <w:sz w:val="24"/>
          <w:lang w:val="es-ES_tradnl"/>
        </w:rPr>
        <w:t>68</w:t>
      </w:r>
      <w:r w:rsidR="002C19EF" w:rsidRPr="00B63399">
        <w:rPr>
          <w:b/>
          <w:bCs/>
          <w:color w:val="595959" w:themeColor="text1" w:themeTint="A6"/>
          <w:sz w:val="24"/>
          <w:lang w:val="es-ES_tradnl"/>
        </w:rPr>
        <w:t>,</w:t>
      </w:r>
      <w:r w:rsidR="004C64E7">
        <w:rPr>
          <w:b/>
          <w:bCs/>
          <w:color w:val="595959" w:themeColor="text1" w:themeTint="A6"/>
          <w:sz w:val="24"/>
          <w:lang w:val="es-ES_tradnl"/>
        </w:rPr>
        <w:t>237</w:t>
      </w:r>
      <w:r w:rsidR="00E43DF1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4841B3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4841B3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4841B3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4841B3">
        <w:rPr>
          <w:bCs/>
          <w:color w:val="595959" w:themeColor="text1" w:themeTint="A6"/>
          <w:sz w:val="24"/>
        </w:rPr>
        <w:t>de</w:t>
      </w:r>
      <w:r w:rsidR="00C168E5" w:rsidRPr="004841B3">
        <w:rPr>
          <w:bCs/>
          <w:color w:val="595959" w:themeColor="text1" w:themeTint="A6"/>
          <w:sz w:val="24"/>
        </w:rPr>
        <w:t>sde</w:t>
      </w:r>
      <w:r w:rsidR="00B50DDF">
        <w:rPr>
          <w:bCs/>
          <w:color w:val="595959" w:themeColor="text1" w:themeTint="A6"/>
          <w:sz w:val="24"/>
        </w:rPr>
        <w:t xml:space="preserve"> 1</w:t>
      </w:r>
      <w:r w:rsidR="004C64E7">
        <w:rPr>
          <w:bCs/>
          <w:color w:val="595959" w:themeColor="text1" w:themeTint="A6"/>
          <w:sz w:val="24"/>
        </w:rPr>
        <w:t>24</w:t>
      </w:r>
      <w:r w:rsidR="000D1EE3" w:rsidRPr="004841B3">
        <w:rPr>
          <w:bCs/>
          <w:color w:val="595959" w:themeColor="text1" w:themeTint="A6"/>
          <w:sz w:val="24"/>
        </w:rPr>
        <w:t xml:space="preserve"> países</w:t>
      </w:r>
      <w:r w:rsidR="005548BC" w:rsidRPr="004841B3">
        <w:rPr>
          <w:bCs/>
          <w:color w:val="595959" w:themeColor="text1" w:themeTint="A6"/>
          <w:sz w:val="24"/>
        </w:rPr>
        <w:t>,</w:t>
      </w:r>
      <w:r w:rsidR="000D1EE3" w:rsidRPr="004841B3">
        <w:rPr>
          <w:bCs/>
          <w:color w:val="595959" w:themeColor="text1" w:themeTint="A6"/>
          <w:sz w:val="24"/>
        </w:rPr>
        <w:t xml:space="preserve"> entre los </w:t>
      </w:r>
      <w:r w:rsidR="005548BC" w:rsidRPr="004841B3">
        <w:rPr>
          <w:bCs/>
          <w:color w:val="595959" w:themeColor="text1" w:themeTint="A6"/>
          <w:sz w:val="24"/>
        </w:rPr>
        <w:t>que</w:t>
      </w:r>
      <w:r w:rsidR="000D1EE3" w:rsidRPr="004841B3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4841B3">
        <w:rPr>
          <w:bCs/>
          <w:color w:val="595959" w:themeColor="text1" w:themeTint="A6"/>
          <w:sz w:val="24"/>
        </w:rPr>
        <w:t>:</w:t>
      </w:r>
      <w:r w:rsidR="000D1EE3" w:rsidRPr="004841B3">
        <w:rPr>
          <w:bCs/>
          <w:color w:val="595959" w:themeColor="text1" w:themeTint="A6"/>
          <w:sz w:val="24"/>
        </w:rPr>
        <w:t xml:space="preserve"> </w:t>
      </w:r>
      <w:r w:rsidR="00C168E5" w:rsidRPr="004841B3">
        <w:rPr>
          <w:bCs/>
          <w:color w:val="595959" w:themeColor="text1" w:themeTint="A6"/>
          <w:sz w:val="24"/>
        </w:rPr>
        <w:t xml:space="preserve">Estados Unidos el </w:t>
      </w:r>
      <w:r w:rsidR="004C64E7">
        <w:rPr>
          <w:bCs/>
          <w:color w:val="595959" w:themeColor="text1" w:themeTint="A6"/>
          <w:sz w:val="24"/>
        </w:rPr>
        <w:t>28</w:t>
      </w:r>
      <w:r w:rsidR="00CD2EAD" w:rsidRPr="004841B3">
        <w:rPr>
          <w:bCs/>
          <w:color w:val="595959" w:themeColor="text1" w:themeTint="A6"/>
          <w:sz w:val="24"/>
        </w:rPr>
        <w:t>.</w:t>
      </w:r>
      <w:r w:rsidR="00B50DDF">
        <w:rPr>
          <w:bCs/>
          <w:color w:val="595959" w:themeColor="text1" w:themeTint="A6"/>
          <w:sz w:val="24"/>
        </w:rPr>
        <w:t>92</w:t>
      </w:r>
      <w:r w:rsidR="00C168E5" w:rsidRPr="004841B3">
        <w:rPr>
          <w:bCs/>
          <w:color w:val="595959" w:themeColor="text1" w:themeTint="A6"/>
          <w:sz w:val="24"/>
        </w:rPr>
        <w:t>%, Guatemala el</w:t>
      </w:r>
      <w:r w:rsidR="002C19EF" w:rsidRPr="004841B3">
        <w:rPr>
          <w:bCs/>
          <w:color w:val="595959" w:themeColor="text1" w:themeTint="A6"/>
          <w:sz w:val="24"/>
        </w:rPr>
        <w:t xml:space="preserve"> </w:t>
      </w:r>
      <w:r w:rsidR="004C64E7">
        <w:rPr>
          <w:bCs/>
          <w:color w:val="595959" w:themeColor="text1" w:themeTint="A6"/>
          <w:sz w:val="24"/>
        </w:rPr>
        <w:t>1</w:t>
      </w:r>
      <w:r w:rsidR="00B50DDF">
        <w:rPr>
          <w:bCs/>
          <w:color w:val="595959" w:themeColor="text1" w:themeTint="A6"/>
          <w:sz w:val="24"/>
        </w:rPr>
        <w:t>4</w:t>
      </w:r>
      <w:r w:rsidR="00304279" w:rsidRPr="004841B3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72</w:t>
      </w:r>
      <w:r w:rsidR="00C168E5" w:rsidRPr="004841B3">
        <w:rPr>
          <w:bCs/>
          <w:color w:val="595959" w:themeColor="text1" w:themeTint="A6"/>
          <w:sz w:val="24"/>
        </w:rPr>
        <w:t xml:space="preserve">%, México el </w:t>
      </w:r>
      <w:r w:rsidR="004C64E7">
        <w:rPr>
          <w:bCs/>
          <w:color w:val="595959" w:themeColor="text1" w:themeTint="A6"/>
          <w:sz w:val="24"/>
        </w:rPr>
        <w:t>3</w:t>
      </w:r>
      <w:r w:rsidR="0003651B" w:rsidRPr="004841B3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83</w:t>
      </w:r>
      <w:r w:rsidR="00C168E5" w:rsidRPr="004841B3">
        <w:rPr>
          <w:bCs/>
          <w:color w:val="595959" w:themeColor="text1" w:themeTint="A6"/>
          <w:sz w:val="24"/>
        </w:rPr>
        <w:t xml:space="preserve">%, </w:t>
      </w:r>
      <w:r w:rsidR="00B50DDF">
        <w:rPr>
          <w:bCs/>
          <w:color w:val="595959" w:themeColor="text1" w:themeTint="A6"/>
          <w:sz w:val="24"/>
        </w:rPr>
        <w:t xml:space="preserve">India el </w:t>
      </w:r>
      <w:r w:rsidR="004C64E7">
        <w:rPr>
          <w:bCs/>
          <w:color w:val="595959" w:themeColor="text1" w:themeTint="A6"/>
          <w:sz w:val="24"/>
        </w:rPr>
        <w:t>2</w:t>
      </w:r>
      <w:r w:rsidR="00B50DDF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54</w:t>
      </w:r>
      <w:r w:rsidR="00B50DDF">
        <w:rPr>
          <w:bCs/>
          <w:color w:val="595959" w:themeColor="text1" w:themeTint="A6"/>
          <w:sz w:val="24"/>
        </w:rPr>
        <w:t xml:space="preserve">%, </w:t>
      </w:r>
      <w:r w:rsidR="00FC6177" w:rsidRPr="004841B3">
        <w:rPr>
          <w:bCs/>
          <w:color w:val="595959" w:themeColor="text1" w:themeTint="A6"/>
          <w:sz w:val="24"/>
        </w:rPr>
        <w:t xml:space="preserve">Colombia el </w:t>
      </w:r>
      <w:r w:rsidR="004C64E7">
        <w:rPr>
          <w:bCs/>
          <w:color w:val="595959" w:themeColor="text1" w:themeTint="A6"/>
          <w:sz w:val="24"/>
        </w:rPr>
        <w:t>2</w:t>
      </w:r>
      <w:r w:rsidR="00FC6177" w:rsidRPr="004841B3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19</w:t>
      </w:r>
      <w:r w:rsidR="00C168E5" w:rsidRPr="004841B3">
        <w:rPr>
          <w:bCs/>
          <w:color w:val="595959" w:themeColor="text1" w:themeTint="A6"/>
          <w:sz w:val="24"/>
        </w:rPr>
        <w:t xml:space="preserve">%, </w:t>
      </w:r>
      <w:r w:rsidR="00426BB9">
        <w:rPr>
          <w:bCs/>
          <w:color w:val="595959" w:themeColor="text1" w:themeTint="A6"/>
          <w:sz w:val="24"/>
        </w:rPr>
        <w:t xml:space="preserve">España </w:t>
      </w:r>
      <w:r w:rsidR="004C64E7">
        <w:rPr>
          <w:bCs/>
          <w:color w:val="595959" w:themeColor="text1" w:themeTint="A6"/>
          <w:sz w:val="24"/>
        </w:rPr>
        <w:t>2</w:t>
      </w:r>
      <w:r w:rsidR="00426BB9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02</w:t>
      </w:r>
      <w:r w:rsidR="00426BB9" w:rsidRPr="004841B3">
        <w:rPr>
          <w:bCs/>
          <w:color w:val="595959" w:themeColor="text1" w:themeTint="A6"/>
          <w:sz w:val="24"/>
        </w:rPr>
        <w:t xml:space="preserve">%, </w:t>
      </w:r>
      <w:r w:rsidR="00C168E5" w:rsidRPr="004841B3">
        <w:rPr>
          <w:bCs/>
          <w:color w:val="595959" w:themeColor="text1" w:themeTint="A6"/>
          <w:sz w:val="24"/>
        </w:rPr>
        <w:t xml:space="preserve">Canadá el </w:t>
      </w:r>
      <w:r w:rsidR="004C64E7">
        <w:rPr>
          <w:bCs/>
          <w:color w:val="595959" w:themeColor="text1" w:themeTint="A6"/>
          <w:sz w:val="24"/>
        </w:rPr>
        <w:t>1</w:t>
      </w:r>
      <w:r w:rsidR="00C168E5" w:rsidRPr="004841B3">
        <w:rPr>
          <w:bCs/>
          <w:color w:val="595959" w:themeColor="text1" w:themeTint="A6"/>
          <w:sz w:val="24"/>
        </w:rPr>
        <w:t>.</w:t>
      </w:r>
      <w:r w:rsidR="004C64E7">
        <w:rPr>
          <w:bCs/>
          <w:color w:val="595959" w:themeColor="text1" w:themeTint="A6"/>
          <w:sz w:val="24"/>
        </w:rPr>
        <w:t>65</w:t>
      </w:r>
      <w:r w:rsidR="00CD2EAD" w:rsidRPr="004841B3">
        <w:rPr>
          <w:bCs/>
          <w:color w:val="595959" w:themeColor="text1" w:themeTint="A6"/>
          <w:sz w:val="24"/>
        </w:rPr>
        <w:t>%, entre otros.</w:t>
      </w:r>
    </w:p>
    <w:p w:rsidR="005D39FF" w:rsidRPr="00D04A77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50DD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54</w:t>
                            </w:r>
                            <w:r w:rsidR="005D39FF" w:rsidRP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399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B50DD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  <w:r w:rsidR="00B50DD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,3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28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3</w:t>
                            </w:r>
                            <w:r w:rsidR="00B50DD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  <w:r w:rsidR="0033779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,7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54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50DD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54</w:t>
                      </w:r>
                      <w:r w:rsidR="005D39FF" w:rsidRP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399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B50DD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</w:t>
                      </w:r>
                      <w:r w:rsidR="00B50DD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,3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28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3</w:t>
                      </w:r>
                      <w:r w:rsidR="00B50DD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</w:t>
                      </w:r>
                      <w:r w:rsidR="0033779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,7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54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FB45" wp14:editId="470B59FC">
                <wp:simplePos x="0" y="0"/>
                <wp:positionH relativeFrom="column">
                  <wp:posOffset>3530600</wp:posOffset>
                </wp:positionH>
                <wp:positionV relativeFrom="paragraph">
                  <wp:posOffset>120015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44BD6" id="12 Conector recto de flecha" o:spid="_x0000_s1026" type="#_x0000_t32" style="position:absolute;margin-left:278pt;margin-top:9.45pt;width:9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SUXAt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337790" w:rsidP="00C168E5">
      <w:pPr>
        <w:ind w:left="360"/>
        <w:contextualSpacing/>
        <w:rPr>
          <w:b/>
          <w:bCs/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EFB0" wp14:editId="76B4EC68">
                <wp:simplePos x="0" y="0"/>
                <wp:positionH relativeFrom="column">
                  <wp:posOffset>2927985</wp:posOffset>
                </wp:positionH>
                <wp:positionV relativeFrom="paragraph">
                  <wp:posOffset>76200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EDA19" id="2 Conector recto de flecha" o:spid="_x0000_s1026" type="#_x0000_t32" style="position:absolute;margin-left:230.55pt;margin-top:6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D1EE3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0D1EE3"/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486A23" w:rsidRDefault="008A50DA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>De enero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201</w:t>
      </w:r>
      <w:r>
        <w:rPr>
          <w:b/>
          <w:bCs/>
          <w:color w:val="1F497D" w:themeColor="text2"/>
          <w:u w:val="single"/>
          <w:lang w:val="es-ES_tradnl"/>
        </w:rPr>
        <w:t>5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 a </w:t>
      </w:r>
      <w:r w:rsidR="00910F69">
        <w:rPr>
          <w:b/>
          <w:bCs/>
          <w:color w:val="1F497D" w:themeColor="text2"/>
          <w:u w:val="single"/>
          <w:lang w:val="es-ES_tradnl"/>
        </w:rPr>
        <w:t>dic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iembre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>
        <w:rPr>
          <w:b/>
          <w:bCs/>
          <w:color w:val="1F497D" w:themeColor="text2"/>
          <w:u w:val="single"/>
          <w:lang w:val="es-ES_tradnl"/>
        </w:rPr>
        <w:t>5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de </w:t>
      </w:r>
      <w:r w:rsidR="001169BE">
        <w:rPr>
          <w:b/>
          <w:bCs/>
          <w:color w:val="1F497D" w:themeColor="text2"/>
          <w:u w:val="single"/>
          <w:lang w:val="es-ES_tradnl"/>
        </w:rPr>
        <w:t>5</w:t>
      </w:r>
      <w:r w:rsidR="00486A23" w:rsidRPr="00486A23">
        <w:rPr>
          <w:b/>
          <w:bCs/>
          <w:color w:val="1F497D" w:themeColor="text2"/>
          <w:u w:val="single"/>
        </w:rPr>
        <w:t>,</w:t>
      </w:r>
      <w:r w:rsidR="00B50DDF">
        <w:rPr>
          <w:b/>
          <w:bCs/>
          <w:color w:val="1F497D" w:themeColor="text2"/>
          <w:u w:val="single"/>
        </w:rPr>
        <w:t>2</w:t>
      </w:r>
      <w:r w:rsidR="001169BE">
        <w:rPr>
          <w:b/>
          <w:bCs/>
          <w:color w:val="1F497D" w:themeColor="text2"/>
          <w:u w:val="single"/>
        </w:rPr>
        <w:t>29</w:t>
      </w:r>
      <w:r w:rsidR="00486A23" w:rsidRPr="00486A23">
        <w:rPr>
          <w:b/>
          <w:bCs/>
          <w:color w:val="1F497D" w:themeColor="text2"/>
          <w:u w:val="single"/>
        </w:rPr>
        <w:t xml:space="preserve"> 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>
        <w:rPr>
          <w:b/>
          <w:bCs/>
          <w:color w:val="1F497D" w:themeColor="text2"/>
          <w:u w:val="single"/>
          <w:lang w:val="es-ES_tradnl"/>
        </w:rPr>
        <w:t>,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 xml:space="preserve"> el </w:t>
      </w:r>
      <w:r w:rsidR="009F6988">
        <w:rPr>
          <w:b/>
          <w:bCs/>
          <w:color w:val="1F497D" w:themeColor="text2"/>
          <w:u w:val="single"/>
          <w:lang w:val="es-ES_tradnl"/>
        </w:rPr>
        <w:t>8</w:t>
      </w:r>
      <w:r w:rsidR="00A86826">
        <w:rPr>
          <w:b/>
          <w:bCs/>
          <w:color w:val="1F497D" w:themeColor="text2"/>
          <w:u w:val="single"/>
          <w:lang w:val="es-ES_tradnl"/>
        </w:rPr>
        <w:t>4</w:t>
      </w:r>
      <w:r w:rsidR="007D1F93">
        <w:rPr>
          <w:b/>
          <w:bCs/>
          <w:color w:val="1F497D" w:themeColor="text2"/>
          <w:u w:val="single"/>
          <w:lang w:val="es-ES_tradnl"/>
        </w:rPr>
        <w:t>.</w:t>
      </w:r>
      <w:r w:rsidR="001169BE">
        <w:rPr>
          <w:b/>
          <w:bCs/>
          <w:color w:val="1F497D" w:themeColor="text2"/>
          <w:u w:val="single"/>
          <w:lang w:val="es-ES_tradnl"/>
        </w:rPr>
        <w:t>71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>% es para información y trámites de créditos.</w:t>
      </w:r>
    </w:p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8268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560"/>
        <w:gridCol w:w="726"/>
        <w:gridCol w:w="683"/>
        <w:gridCol w:w="760"/>
        <w:gridCol w:w="683"/>
        <w:gridCol w:w="1847"/>
      </w:tblGrid>
      <w:tr w:rsidR="00E52AB9" w:rsidRPr="00E52AB9" w:rsidTr="00B50DDF">
        <w:trPr>
          <w:trHeight w:val="300"/>
        </w:trPr>
        <w:tc>
          <w:tcPr>
            <w:tcW w:w="8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2"/>
              <w:gridCol w:w="544"/>
              <w:gridCol w:w="502"/>
              <w:gridCol w:w="579"/>
              <w:gridCol w:w="502"/>
              <w:gridCol w:w="502"/>
              <w:gridCol w:w="617"/>
              <w:gridCol w:w="502"/>
              <w:gridCol w:w="502"/>
              <w:gridCol w:w="509"/>
              <w:gridCol w:w="502"/>
              <w:gridCol w:w="1698"/>
            </w:tblGrid>
            <w:tr w:rsidR="001169BE" w:rsidRPr="001169BE" w:rsidTr="00E03BEE">
              <w:trPr>
                <w:trHeight w:val="361"/>
              </w:trPr>
              <w:tc>
                <w:tcPr>
                  <w:tcW w:w="796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Sistema de consulta WEB (Contáctenos)</w:t>
                  </w:r>
                </w:p>
              </w:tc>
            </w:tr>
            <w:tr w:rsidR="001169BE" w:rsidRPr="001169BE" w:rsidTr="00E03BEE">
              <w:trPr>
                <w:trHeight w:val="361"/>
              </w:trPr>
              <w:tc>
                <w:tcPr>
                  <w:tcW w:w="508" w:type="dxa"/>
                  <w:tcBorders>
                    <w:top w:val="single" w:sz="4" w:space="0" w:color="4F81BD"/>
                    <w:left w:val="single" w:sz="8" w:space="0" w:color="auto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E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ne</w:t>
                  </w:r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F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eb</w:t>
                  </w:r>
                </w:p>
              </w:tc>
              <w:tc>
                <w:tcPr>
                  <w:tcW w:w="544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M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ar</w:t>
                  </w:r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A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br</w:t>
                  </w:r>
                </w:p>
              </w:tc>
              <w:tc>
                <w:tcPr>
                  <w:tcW w:w="579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M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ay</w:t>
                  </w:r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J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un</w:t>
                  </w:r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J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ul</w:t>
                  </w:r>
                </w:p>
              </w:tc>
              <w:tc>
                <w:tcPr>
                  <w:tcW w:w="617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A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gos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S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ep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O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ct</w:t>
                  </w:r>
                </w:p>
              </w:tc>
              <w:tc>
                <w:tcPr>
                  <w:tcW w:w="509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N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ov</w:t>
                  </w:r>
                </w:p>
              </w:tc>
              <w:tc>
                <w:tcPr>
                  <w:tcW w:w="502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E03BE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D</w:t>
                  </w:r>
                  <w:r w:rsidR="001169BE"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ic</w:t>
                  </w:r>
                </w:p>
              </w:tc>
              <w:tc>
                <w:tcPr>
                  <w:tcW w:w="1694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b/>
                      <w:bCs/>
                      <w:color w:val="366092"/>
                      <w:lang w:eastAsia="es-SV"/>
                    </w:rPr>
                    <w:t>Total general</w:t>
                  </w:r>
                </w:p>
              </w:tc>
            </w:tr>
            <w:tr w:rsidR="00E03BEE" w:rsidRPr="001169BE" w:rsidTr="00E03BEE">
              <w:trPr>
                <w:trHeight w:val="379"/>
              </w:trPr>
              <w:tc>
                <w:tcPr>
                  <w:tcW w:w="508" w:type="dxa"/>
                  <w:tcBorders>
                    <w:top w:val="nil"/>
                    <w:left w:val="single" w:sz="8" w:space="0" w:color="auto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757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538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419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346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369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460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553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386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410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448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334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209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4F81BD"/>
                    <w:right w:val="single" w:sz="8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:rsidR="001169BE" w:rsidRPr="001169BE" w:rsidRDefault="001169BE" w:rsidP="001169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</w:pPr>
                  <w:r w:rsidRPr="001169BE">
                    <w:rPr>
                      <w:rFonts w:ascii="Calibri" w:eastAsia="Times New Roman" w:hAnsi="Calibri" w:cs="Calibri"/>
                      <w:color w:val="366092"/>
                      <w:lang w:eastAsia="es-SV"/>
                    </w:rPr>
                    <w:t>5,229</w:t>
                  </w:r>
                </w:p>
              </w:tc>
            </w:tr>
          </w:tbl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E52AB9" w:rsidRPr="00E52AB9" w:rsidTr="001169BE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982F09" w:rsidRPr="000D1EE3" w:rsidRDefault="008E7FEF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72576" behindDoc="0" locked="0" layoutInCell="1" allowOverlap="1" wp14:anchorId="2A4AB3EA" wp14:editId="0EE4E8A2">
            <wp:simplePos x="0" y="0"/>
            <wp:positionH relativeFrom="column">
              <wp:posOffset>184785</wp:posOffset>
            </wp:positionH>
            <wp:positionV relativeFrom="paragraph">
              <wp:posOffset>147320</wp:posOffset>
            </wp:positionV>
            <wp:extent cx="5612130" cy="1797050"/>
            <wp:effectExtent l="0" t="0" r="26670" b="1270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4C5" w:rsidRDefault="006D14C5" w:rsidP="008E7FEF">
      <w:pP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0D1EE3" w:rsidRPr="000D1EE3" w:rsidRDefault="00935AEA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2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Fan page FSV: Red Social Facebook]</w:t>
      </w:r>
    </w:p>
    <w:p w:rsidR="005548BC" w:rsidRPr="005548BC" w:rsidRDefault="000B5E7A" w:rsidP="004000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595959" w:themeColor="text1" w:themeTint="A6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8E7FEF">
        <w:rPr>
          <w:b/>
          <w:bCs/>
          <w:color w:val="1F497D" w:themeColor="text2"/>
          <w:lang w:val="es-ES_tradnl"/>
        </w:rPr>
        <w:t>dic</w:t>
      </w:r>
      <w:r w:rsidR="00A86826">
        <w:rPr>
          <w:b/>
          <w:bCs/>
          <w:color w:val="1F497D" w:themeColor="text2"/>
          <w:lang w:val="es-ES_tradnl"/>
        </w:rPr>
        <w:t>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9F6988">
        <w:rPr>
          <w:b/>
          <w:bCs/>
          <w:color w:val="1F497D" w:themeColor="text2"/>
          <w:lang w:val="es-ES_tradnl"/>
        </w:rPr>
        <w:t>5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A944A6">
        <w:rPr>
          <w:b/>
          <w:bCs/>
          <w:color w:val="1F497D" w:themeColor="text2"/>
          <w:lang w:val="es-ES_tradnl"/>
        </w:rPr>
        <w:t>52</w:t>
      </w:r>
      <w:r w:rsidR="007F15BC">
        <w:rPr>
          <w:b/>
          <w:bCs/>
          <w:color w:val="1F497D" w:themeColor="text2"/>
          <w:lang w:val="es-ES_tradnl"/>
        </w:rPr>
        <w:t>,</w:t>
      </w:r>
      <w:r w:rsidR="00A944A6">
        <w:rPr>
          <w:b/>
          <w:bCs/>
          <w:color w:val="1F497D" w:themeColor="text2"/>
          <w:lang w:val="es-ES_tradnl"/>
        </w:rPr>
        <w:t>446</w:t>
      </w:r>
      <w:r w:rsidR="007F15BC">
        <w:rPr>
          <w:b/>
          <w:bCs/>
          <w:color w:val="1F497D" w:themeColor="text2"/>
          <w:lang w:val="es-ES_tradnl"/>
        </w:rPr>
        <w:t xml:space="preserve"> fans</w:t>
      </w:r>
      <w:r w:rsidR="004000AB">
        <w:rPr>
          <w:b/>
          <w:bCs/>
          <w:color w:val="1F497D" w:themeColor="text2"/>
          <w:lang w:val="es-ES_tradnl"/>
        </w:rPr>
        <w:t xml:space="preserve">, de los cuales se obtuvieron </w:t>
      </w:r>
      <w:r w:rsidR="00CB38AC" w:rsidRPr="00CB38AC">
        <w:rPr>
          <w:b/>
          <w:bCs/>
          <w:color w:val="1F497D" w:themeColor="text2"/>
          <w:lang w:val="es-ES_tradnl"/>
        </w:rPr>
        <w:t>2,787</w:t>
      </w:r>
      <w:r w:rsidR="004000AB" w:rsidRPr="00CB38AC">
        <w:rPr>
          <w:b/>
          <w:bCs/>
          <w:color w:val="1F497D" w:themeColor="text2"/>
          <w:lang w:val="es-ES_tradnl"/>
        </w:rPr>
        <w:t xml:space="preserve"> nuevos </w:t>
      </w:r>
      <w:proofErr w:type="spellStart"/>
      <w:r w:rsidR="004000AB" w:rsidRPr="00CB38AC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B38AC">
        <w:rPr>
          <w:b/>
          <w:bCs/>
          <w:color w:val="1F497D" w:themeColor="text2"/>
          <w:lang w:val="es-ES_tradnl"/>
        </w:rPr>
        <w:t xml:space="preserve"> de octubre a diciembre 2015</w:t>
      </w:r>
      <w:r w:rsidR="005548BC">
        <w:rPr>
          <w:b/>
          <w:bCs/>
          <w:color w:val="1F497D" w:themeColor="text2"/>
          <w:lang w:val="es-ES_tradnl"/>
        </w:rPr>
        <w:t>.</w:t>
      </w:r>
      <w:r w:rsidR="00D25E7D" w:rsidRPr="007F15BC">
        <w:rPr>
          <w:b/>
          <w:bCs/>
          <w:color w:val="1F497D" w:themeColor="text2"/>
          <w:lang w:val="es-ES_tradnl"/>
        </w:rPr>
        <w:t xml:space="preserve"> </w:t>
      </w:r>
      <w:r w:rsidR="00CA2D77" w:rsidRPr="007F15BC">
        <w:rPr>
          <w:b/>
          <w:bCs/>
          <w:color w:val="1F497D" w:themeColor="text2"/>
          <w:lang w:val="es-ES_tradnl"/>
        </w:rPr>
        <w:t xml:space="preserve"> </w:t>
      </w:r>
      <w:r w:rsidR="00A944A6">
        <w:rPr>
          <w:bCs/>
          <w:color w:val="595959" w:themeColor="text1" w:themeTint="A6"/>
          <w:lang w:val="es-ES_tradnl"/>
        </w:rPr>
        <w:t>El 53</w:t>
      </w:r>
      <w:r w:rsidR="000D1EE3" w:rsidRPr="007F15BC">
        <w:rPr>
          <w:bCs/>
          <w:color w:val="595959" w:themeColor="text1" w:themeTint="A6"/>
          <w:lang w:val="es-ES_tradnl"/>
        </w:rPr>
        <w:t xml:space="preserve">% de </w:t>
      </w:r>
      <w:r w:rsidR="008A10E6">
        <w:rPr>
          <w:bCs/>
          <w:color w:val="595959" w:themeColor="text1" w:themeTint="A6"/>
          <w:lang w:val="es-ES_tradnl"/>
        </w:rPr>
        <w:t xml:space="preserve">los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944A6">
        <w:rPr>
          <w:bCs/>
          <w:color w:val="595959" w:themeColor="text1" w:themeTint="A6"/>
          <w:lang w:val="es-ES_tradnl"/>
        </w:rPr>
        <w:t>46</w:t>
      </w:r>
      <w:r w:rsidR="000D1EE3" w:rsidRPr="007F15BC">
        <w:rPr>
          <w:bCs/>
          <w:color w:val="595959" w:themeColor="text1" w:themeTint="A6"/>
          <w:lang w:val="es-ES_tradnl"/>
        </w:rPr>
        <w:t>%</w:t>
      </w:r>
      <w:r w:rsidR="008A10E6">
        <w:rPr>
          <w:bCs/>
          <w:color w:val="595959" w:themeColor="text1" w:themeTint="A6"/>
          <w:lang w:val="es-ES_tradnl"/>
        </w:rPr>
        <w:t xml:space="preserve"> son </w:t>
      </w:r>
      <w:r w:rsidR="008A10E6" w:rsidRPr="007F15BC">
        <w:rPr>
          <w:bCs/>
          <w:color w:val="595959" w:themeColor="text1" w:themeTint="A6"/>
          <w:lang w:val="es-ES_tradnl"/>
        </w:rPr>
        <w:t>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>gos de edad entre 18-24 años y 35</w:t>
      </w:r>
      <w:r w:rsidR="000D1EE3" w:rsidRPr="007F15BC">
        <w:rPr>
          <w:bCs/>
          <w:color w:val="595959" w:themeColor="text1" w:themeTint="A6"/>
          <w:lang w:val="es-ES_tradnl"/>
        </w:rPr>
        <w:t>-4</w:t>
      </w:r>
      <w:r w:rsidR="00A944A6">
        <w:rPr>
          <w:bCs/>
          <w:color w:val="595959" w:themeColor="text1" w:themeTint="A6"/>
          <w:lang w:val="es-ES_tradnl"/>
        </w:rPr>
        <w:t>4</w:t>
      </w:r>
      <w:r w:rsidR="000D1EE3" w:rsidRPr="007F15BC">
        <w:rPr>
          <w:bCs/>
          <w:color w:val="595959" w:themeColor="text1" w:themeTint="A6"/>
          <w:lang w:val="es-ES_tradnl"/>
        </w:rPr>
        <w:t xml:space="preserve"> años. </w:t>
      </w: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50FBF">
        <w:rPr>
          <w:bCs/>
          <w:color w:val="595959" w:themeColor="text1" w:themeTint="A6"/>
        </w:rPr>
        <w:t>enero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A944A6">
        <w:rPr>
          <w:bCs/>
          <w:color w:val="595959" w:themeColor="text1" w:themeTint="A6"/>
        </w:rPr>
        <w:t>dic</w:t>
      </w:r>
      <w:r w:rsidR="008A10E6">
        <w:rPr>
          <w:bCs/>
          <w:color w:val="595959" w:themeColor="text1" w:themeTint="A6"/>
        </w:rPr>
        <w:t>i</w:t>
      </w:r>
      <w:r w:rsidR="00A86826">
        <w:rPr>
          <w:bCs/>
          <w:color w:val="595959" w:themeColor="text1" w:themeTint="A6"/>
        </w:rPr>
        <w:t>embre</w:t>
      </w:r>
      <w:r w:rsidR="00A47989" w:rsidRPr="005548BC">
        <w:rPr>
          <w:bCs/>
          <w:color w:val="595959" w:themeColor="text1" w:themeTint="A6"/>
        </w:rPr>
        <w:t xml:space="preserve"> 201</w:t>
      </w:r>
      <w:r w:rsidR="00C50FBF">
        <w:rPr>
          <w:bCs/>
          <w:color w:val="595959" w:themeColor="text1" w:themeTint="A6"/>
        </w:rPr>
        <w:t>5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6D14C5" w:rsidRPr="006D14C5">
        <w:rPr>
          <w:b/>
          <w:bCs/>
          <w:color w:val="595959" w:themeColor="text1" w:themeTint="A6"/>
        </w:rPr>
        <w:t>1</w:t>
      </w:r>
      <w:r w:rsidR="00FE76BF">
        <w:rPr>
          <w:b/>
          <w:bCs/>
          <w:color w:val="595959" w:themeColor="text1" w:themeTint="A6"/>
        </w:rPr>
        <w:t>,</w:t>
      </w:r>
      <w:r w:rsidR="00A944A6">
        <w:rPr>
          <w:b/>
          <w:bCs/>
          <w:color w:val="595959" w:themeColor="text1" w:themeTint="A6"/>
        </w:rPr>
        <w:t>7</w:t>
      </w:r>
      <w:r w:rsidR="00A86826">
        <w:rPr>
          <w:b/>
          <w:bCs/>
          <w:color w:val="595959" w:themeColor="text1" w:themeTint="A6"/>
        </w:rPr>
        <w:t>3</w:t>
      </w:r>
      <w:r w:rsidR="00A944A6">
        <w:rPr>
          <w:b/>
          <w:bCs/>
          <w:color w:val="595959" w:themeColor="text1" w:themeTint="A6"/>
        </w:rPr>
        <w:t>5</w:t>
      </w:r>
      <w:r w:rsidR="007F15BC" w:rsidRPr="00B168D2">
        <w:rPr>
          <w:b/>
          <w:bCs/>
          <w:color w:val="595959" w:themeColor="text1" w:themeTint="A6"/>
        </w:rPr>
        <w:t>,</w:t>
      </w:r>
      <w:r w:rsidR="00A86826">
        <w:rPr>
          <w:b/>
          <w:bCs/>
          <w:color w:val="595959" w:themeColor="text1" w:themeTint="A6"/>
        </w:rPr>
        <w:t>6</w:t>
      </w:r>
      <w:r w:rsidR="00A944A6">
        <w:rPr>
          <w:b/>
          <w:bCs/>
          <w:color w:val="595959" w:themeColor="text1" w:themeTint="A6"/>
        </w:rPr>
        <w:t>31</w:t>
      </w:r>
      <w:r w:rsidR="00B168D2" w:rsidRPr="00B168D2">
        <w:rPr>
          <w:bCs/>
          <w:color w:val="595959" w:themeColor="text1" w:themeTint="A6"/>
        </w:rPr>
        <w:t xml:space="preserve"> impresiones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 xml:space="preserve">nuevos servicios (Ventanilla en Los Ángeles), </w:t>
      </w:r>
      <w:r w:rsidR="005548BC" w:rsidRPr="005548BC">
        <w:rPr>
          <w:bCs/>
          <w:color w:val="595959" w:themeColor="text1" w:themeTint="A6"/>
        </w:rPr>
        <w:t xml:space="preserve">ferias en proyectos, </w:t>
      </w:r>
      <w:r w:rsidR="008A10E6">
        <w:rPr>
          <w:bCs/>
          <w:color w:val="595959" w:themeColor="text1" w:themeTint="A6"/>
        </w:rPr>
        <w:t xml:space="preserve">visitas del Fondo Móvil, </w:t>
      </w:r>
      <w:r w:rsidR="005548BC" w:rsidRPr="005548BC">
        <w:rPr>
          <w:bCs/>
          <w:color w:val="595959" w:themeColor="text1" w:themeTint="A6"/>
        </w:rPr>
        <w:t>ventajas de financiamientos y 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766989">
        <w:rPr>
          <w:bCs/>
          <w:color w:val="595959" w:themeColor="text1" w:themeTint="A6"/>
        </w:rPr>
        <w:t xml:space="preserve">entrevistas, eventos interinstitucionales, </w:t>
      </w:r>
      <w:r w:rsidR="005548BC" w:rsidRPr="005548BC">
        <w:rPr>
          <w:bCs/>
          <w:color w:val="595959" w:themeColor="text1" w:themeTint="A6"/>
        </w:rPr>
        <w:t>entre otros.</w:t>
      </w:r>
    </w:p>
    <w:p w:rsidR="00ED0674" w:rsidRDefault="00ED0674" w:rsidP="00ED0674">
      <w:pPr>
        <w:jc w:val="both"/>
        <w:rPr>
          <w:bCs/>
          <w:color w:val="595959" w:themeColor="text1" w:themeTint="A6"/>
        </w:rPr>
      </w:pPr>
    </w:p>
    <w:p w:rsidR="008A10E6" w:rsidRPr="00ED0674" w:rsidRDefault="008A10E6" w:rsidP="00ED0674">
      <w:pPr>
        <w:jc w:val="both"/>
        <w:rPr>
          <w:bCs/>
          <w:color w:val="595959" w:themeColor="text1" w:themeTint="A6"/>
        </w:rPr>
      </w:pPr>
    </w:p>
    <w:tbl>
      <w:tblPr>
        <w:tblW w:w="107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885"/>
        <w:gridCol w:w="885"/>
        <w:gridCol w:w="609"/>
        <w:gridCol w:w="703"/>
        <w:gridCol w:w="885"/>
        <w:gridCol w:w="885"/>
        <w:gridCol w:w="885"/>
        <w:gridCol w:w="885"/>
        <w:gridCol w:w="609"/>
        <w:gridCol w:w="618"/>
        <w:gridCol w:w="885"/>
        <w:gridCol w:w="1341"/>
      </w:tblGrid>
      <w:tr w:rsidR="00ED0674" w:rsidRPr="00ED0674" w:rsidTr="00452D83">
        <w:trPr>
          <w:trHeight w:val="368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proofErr w:type="spellStart"/>
            <w:r w:rsidRPr="00ED067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Likes</w:t>
            </w:r>
            <w:proofErr w:type="spellEnd"/>
            <w:r w:rsidRPr="00ED067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D0674" w:rsidRPr="00ED0674" w:rsidTr="00452D83">
        <w:trPr>
          <w:trHeight w:val="368"/>
        </w:trPr>
        <w:tc>
          <w:tcPr>
            <w:tcW w:w="624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ne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F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eb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ar</w:t>
            </w:r>
          </w:p>
        </w:tc>
        <w:tc>
          <w:tcPr>
            <w:tcW w:w="6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br</w:t>
            </w:r>
          </w:p>
        </w:tc>
        <w:tc>
          <w:tcPr>
            <w:tcW w:w="7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ay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un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45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ul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gos</w:t>
            </w:r>
            <w:proofErr w:type="spellEnd"/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S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ep</w:t>
            </w:r>
            <w:proofErr w:type="spellEnd"/>
          </w:p>
        </w:tc>
        <w:tc>
          <w:tcPr>
            <w:tcW w:w="6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O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ct</w:t>
            </w:r>
          </w:p>
        </w:tc>
        <w:tc>
          <w:tcPr>
            <w:tcW w:w="61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45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N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ov</w:t>
            </w:r>
          </w:p>
        </w:tc>
        <w:tc>
          <w:tcPr>
            <w:tcW w:w="8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D0674" w:rsidRPr="00ED0674" w:rsidRDefault="00452D83" w:rsidP="0045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D</w:t>
            </w:r>
            <w:r w:rsidR="00ED0674"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ic</w:t>
            </w:r>
          </w:p>
        </w:tc>
        <w:tc>
          <w:tcPr>
            <w:tcW w:w="1341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7E0384" w:rsidRPr="00ED0674" w:rsidTr="00452D83">
        <w:trPr>
          <w:trHeight w:val="36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6,146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1,159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1,094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788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899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2,859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4,855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1,946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3,867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929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769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1,089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ED0674" w:rsidRPr="00ED0674" w:rsidRDefault="00ED0674" w:rsidP="00ED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D0674">
              <w:rPr>
                <w:rFonts w:ascii="Calibri" w:eastAsia="Times New Roman" w:hAnsi="Calibri" w:cs="Calibri"/>
                <w:color w:val="366092"/>
                <w:lang w:eastAsia="es-SV"/>
              </w:rPr>
              <w:t>26,400</w:t>
            </w:r>
          </w:p>
        </w:tc>
      </w:tr>
    </w:tbl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A86826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7C5C5317" wp14:editId="4C61BBB5">
            <wp:extent cx="6676845" cy="1958196"/>
            <wp:effectExtent l="0" t="0" r="10160" b="2349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1EE3" w:rsidRPr="00BF2A24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Atención de consultas en Facebook]</w:t>
      </w:r>
    </w:p>
    <w:p w:rsidR="000D1EE3" w:rsidRDefault="00ED0674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De enero a dic</w:t>
      </w:r>
      <w:r w:rsidR="00A86826">
        <w:rPr>
          <w:bCs/>
          <w:color w:val="595959" w:themeColor="text1" w:themeTint="A6"/>
          <w:lang w:val="es-ES_tradnl"/>
        </w:rPr>
        <w:t>iembre</w:t>
      </w:r>
      <w:r w:rsidR="00CD1E79">
        <w:rPr>
          <w:bCs/>
          <w:color w:val="595959" w:themeColor="text1" w:themeTint="A6"/>
          <w:lang w:val="es-ES_tradnl"/>
        </w:rPr>
        <w:t xml:space="preserve"> 2015</w:t>
      </w:r>
      <w:r w:rsidR="00473FBB" w:rsidRPr="00473FBB">
        <w:rPr>
          <w:bCs/>
          <w:color w:val="595959" w:themeColor="text1" w:themeTint="A6"/>
          <w:lang w:val="es-ES_tradnl"/>
        </w:rPr>
        <w:t xml:space="preserve">, se cuenta con un registro de </w:t>
      </w:r>
      <w:r w:rsidR="00FE11D3" w:rsidRPr="008E2CA6">
        <w:rPr>
          <w:b/>
          <w:bCs/>
          <w:color w:val="595959" w:themeColor="text1" w:themeTint="A6"/>
          <w:lang w:val="es-ES_tradnl"/>
        </w:rPr>
        <w:t>4</w:t>
      </w:r>
      <w:r w:rsidR="00473FBB" w:rsidRPr="008E2CA6">
        <w:rPr>
          <w:b/>
          <w:bCs/>
          <w:color w:val="595959" w:themeColor="text1" w:themeTint="A6"/>
          <w:lang w:val="es-ES_tradnl"/>
        </w:rPr>
        <w:t>,</w:t>
      </w:r>
      <w:r w:rsidR="00FE11D3" w:rsidRPr="008E2CA6">
        <w:rPr>
          <w:b/>
          <w:bCs/>
          <w:color w:val="595959" w:themeColor="text1" w:themeTint="A6"/>
          <w:lang w:val="es-ES_tradnl"/>
        </w:rPr>
        <w:t>922</w:t>
      </w:r>
      <w:r w:rsidR="00473FBB" w:rsidRPr="008E2CA6">
        <w:rPr>
          <w:b/>
          <w:bCs/>
          <w:color w:val="595959" w:themeColor="text1" w:themeTint="A6"/>
          <w:lang w:val="es-ES_tradnl"/>
        </w:rPr>
        <w:t xml:space="preserve">  consultas atendidas</w:t>
      </w:r>
      <w:r w:rsidR="00473FBB" w:rsidRPr="00473FB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6D5A20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6D14C5" w:rsidRDefault="006D14C5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tbl>
      <w:tblPr>
        <w:tblW w:w="10531" w:type="dxa"/>
        <w:tblInd w:w="-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51"/>
        <w:gridCol w:w="815"/>
        <w:gridCol w:w="751"/>
        <w:gridCol w:w="868"/>
        <w:gridCol w:w="751"/>
        <w:gridCol w:w="751"/>
        <w:gridCol w:w="924"/>
        <w:gridCol w:w="751"/>
        <w:gridCol w:w="751"/>
        <w:gridCol w:w="763"/>
        <w:gridCol w:w="751"/>
        <w:gridCol w:w="1424"/>
      </w:tblGrid>
      <w:tr w:rsidR="00EF2FF1" w:rsidRPr="00EF2FF1" w:rsidTr="00EF2FF1">
        <w:trPr>
          <w:trHeight w:val="330"/>
        </w:trPr>
        <w:tc>
          <w:tcPr>
            <w:tcW w:w="105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Atención en Facebook</w:t>
            </w:r>
          </w:p>
        </w:tc>
      </w:tr>
      <w:tr w:rsidR="00EF2FF1" w:rsidRPr="00EF2FF1" w:rsidTr="00EF2FF1">
        <w:trPr>
          <w:trHeight w:val="330"/>
        </w:trPr>
        <w:tc>
          <w:tcPr>
            <w:tcW w:w="48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ne</w:t>
            </w:r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F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eb</w:t>
            </w:r>
          </w:p>
        </w:tc>
        <w:tc>
          <w:tcPr>
            <w:tcW w:w="81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ar</w:t>
            </w:r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br</w:t>
            </w:r>
          </w:p>
        </w:tc>
        <w:tc>
          <w:tcPr>
            <w:tcW w:w="8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M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ay</w:t>
            </w:r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un</w:t>
            </w:r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886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J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ul</w:t>
            </w:r>
          </w:p>
        </w:tc>
        <w:tc>
          <w:tcPr>
            <w:tcW w:w="92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A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gos</w:t>
            </w:r>
            <w:proofErr w:type="spellEnd"/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S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ep</w:t>
            </w:r>
            <w:proofErr w:type="spellEnd"/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O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ct</w:t>
            </w:r>
          </w:p>
        </w:tc>
        <w:tc>
          <w:tcPr>
            <w:tcW w:w="7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N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ov</w:t>
            </w:r>
          </w:p>
        </w:tc>
        <w:tc>
          <w:tcPr>
            <w:tcW w:w="7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2FF1" w:rsidRPr="00EF2FF1" w:rsidRDefault="00886670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D</w:t>
            </w:r>
            <w:r w:rsidR="00EF2FF1"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ic</w:t>
            </w:r>
          </w:p>
        </w:tc>
        <w:tc>
          <w:tcPr>
            <w:tcW w:w="1424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EF2FF1" w:rsidRPr="00EF2FF1" w:rsidTr="00EF2FF1">
        <w:trPr>
          <w:trHeight w:val="3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525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407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269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344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352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556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186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350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294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EF2FF1" w:rsidRPr="00EF2FF1" w:rsidRDefault="00EF2FF1" w:rsidP="00EF2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  <w:lang w:eastAsia="es-SV"/>
              </w:rPr>
            </w:pPr>
            <w:r w:rsidRPr="00EF2FF1">
              <w:rPr>
                <w:rFonts w:ascii="Calibri" w:eastAsia="Times New Roman" w:hAnsi="Calibri" w:cs="Calibri"/>
                <w:color w:val="366092"/>
                <w:lang w:eastAsia="es-SV"/>
              </w:rPr>
              <w:t>4,922</w:t>
            </w:r>
          </w:p>
        </w:tc>
      </w:tr>
    </w:tbl>
    <w:p w:rsid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6D5A20" w:rsidRDefault="00EF2FF1" w:rsidP="000D1EE3">
      <w:pPr>
        <w:spacing w:after="0" w:line="240" w:lineRule="auto"/>
        <w:ind w:left="1416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anchor distT="0" distB="0" distL="114300" distR="114300" simplePos="0" relativeHeight="251673600" behindDoc="0" locked="0" layoutInCell="1" allowOverlap="1" wp14:anchorId="43B0724D" wp14:editId="631DCF62">
            <wp:simplePos x="0" y="0"/>
            <wp:positionH relativeFrom="column">
              <wp:posOffset>-588645</wp:posOffset>
            </wp:positionH>
            <wp:positionV relativeFrom="paragraph">
              <wp:posOffset>170815</wp:posOffset>
            </wp:positionV>
            <wp:extent cx="6719570" cy="2346325"/>
            <wp:effectExtent l="0" t="0" r="24130" b="15875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20" w:rsidRP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A86826" w:rsidRDefault="00A86826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4163FC" w:rsidRDefault="004163FC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4163FC" w:rsidRDefault="004163FC" w:rsidP="00CD33F0">
      <w:pPr>
        <w:pStyle w:val="Default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Canal de </w:t>
      </w:r>
      <w:proofErr w:type="spellStart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>You</w:t>
      </w:r>
      <w:proofErr w:type="spellEnd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  <w:proofErr w:type="spellStart"/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>T</w:t>
      </w:r>
      <w:r w:rsidR="00D4393B" w:rsidRPr="000D1EE3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  <w:proofErr w:type="spellEnd"/>
      <w:r w:rsidR="00D4393B" w:rsidRPr="000D1EE3">
        <w:rPr>
          <w:rFonts w:ascii="Chaparral Pro" w:hAnsi="Chaparral Pro"/>
          <w:b/>
          <w:color w:val="1F497D" w:themeColor="text2"/>
          <w:sz w:val="36"/>
          <w:szCs w:val="36"/>
        </w:rPr>
        <w:t>]</w:t>
      </w:r>
    </w:p>
    <w:p w:rsidR="00D4393B" w:rsidRPr="00D924EC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 w:rsidR="00EF2FF1">
        <w:rPr>
          <w:bCs/>
          <w:color w:val="595959" w:themeColor="text1" w:themeTint="A6"/>
          <w:lang w:val="es-ES_tradnl"/>
        </w:rPr>
        <w:t xml:space="preserve">A la fecha se cuenta con </w:t>
      </w:r>
      <w:r w:rsidR="00536C96">
        <w:rPr>
          <w:bCs/>
          <w:color w:val="595959" w:themeColor="text1" w:themeTint="A6"/>
          <w:lang w:val="es-ES_tradnl"/>
        </w:rPr>
        <w:t>5</w:t>
      </w:r>
      <w:r w:rsidR="00EF2FF1" w:rsidRPr="00D924EC">
        <w:rPr>
          <w:bCs/>
          <w:color w:val="595959" w:themeColor="text1" w:themeTint="A6"/>
          <w:lang w:val="es-ES_tradnl"/>
        </w:rPr>
        <w:t>2</w:t>
      </w:r>
      <w:r w:rsidR="002A5C97">
        <w:rPr>
          <w:bCs/>
          <w:color w:val="595959" w:themeColor="text1" w:themeTint="A6"/>
          <w:lang w:val="es-ES_tradnl"/>
        </w:rPr>
        <w:t xml:space="preserve"> </w:t>
      </w:r>
      <w:r w:rsidR="00536C96">
        <w:rPr>
          <w:bCs/>
          <w:color w:val="595959" w:themeColor="text1" w:themeTint="A6"/>
          <w:lang w:val="es-ES_tradnl"/>
        </w:rPr>
        <w:t xml:space="preserve">nuevos </w:t>
      </w:r>
      <w:r w:rsidR="002A5C97">
        <w:rPr>
          <w:bCs/>
          <w:color w:val="595959" w:themeColor="text1" w:themeTint="A6"/>
          <w:lang w:val="es-ES_tradnl"/>
        </w:rPr>
        <w:t>suscriptores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536C96">
        <w:rPr>
          <w:bCs/>
          <w:color w:val="595959" w:themeColor="text1" w:themeTint="A6"/>
          <w:lang w:val="es-ES_tradnl"/>
        </w:rPr>
        <w:t>7,018</w:t>
      </w:r>
      <w:r w:rsidR="002A5C97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>En este canal los ciudadanos pueden consultar, comentar o compartir con sus conocidos, la información que les parezca relevante. El nombre del canal es FSVELSALVADOR y se comparte desde el sitio web del FSV y desde la red social de Facebook.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Pr="00D4393B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En este canal 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EF2FF1">
        <w:rPr>
          <w:bCs/>
          <w:color w:val="595959" w:themeColor="text1" w:themeTint="A6"/>
          <w:lang w:val="es-ES_tradnl"/>
        </w:rPr>
        <w:t>137</w:t>
      </w:r>
      <w:r w:rsidRPr="00A214B6">
        <w:rPr>
          <w:bCs/>
          <w:color w:val="595959" w:themeColor="text1" w:themeTint="A6"/>
          <w:lang w:val="es-ES_tradnl"/>
        </w:rPr>
        <w:t xml:space="preserve"> 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 el quehacer institucional en temas como</w:t>
      </w:r>
      <w:r>
        <w:rPr>
          <w:bCs/>
          <w:color w:val="595959" w:themeColor="text1" w:themeTint="A6"/>
          <w:lang w:val="es-ES_tradnl"/>
        </w:rPr>
        <w:t xml:space="preserve"> los siguientes</w:t>
      </w:r>
      <w:r w:rsidRPr="00BF2A24">
        <w:rPr>
          <w:bCs/>
          <w:color w:val="595959" w:themeColor="text1" w:themeTint="A6"/>
          <w:lang w:val="es-ES_tradnl"/>
        </w:rPr>
        <w:t xml:space="preserve">: </w:t>
      </w:r>
      <w:r w:rsidR="00A214B6">
        <w:rPr>
          <w:bCs/>
          <w:color w:val="595959" w:themeColor="text1" w:themeTint="A6"/>
          <w:lang w:val="es-ES_tradnl"/>
        </w:rPr>
        <w:t>Lanzamiento y beneficios del nuevo programa de Casa Joven</w:t>
      </w:r>
      <w:r>
        <w:rPr>
          <w:bCs/>
          <w:color w:val="595959" w:themeColor="text1" w:themeTint="A6"/>
          <w:lang w:val="es-ES_tradnl"/>
        </w:rPr>
        <w:t xml:space="preserve">, </w:t>
      </w:r>
      <w:r w:rsidR="00A214B6">
        <w:rPr>
          <w:bCs/>
          <w:color w:val="595959" w:themeColor="text1" w:themeTint="A6"/>
          <w:lang w:val="es-ES_tradnl"/>
        </w:rPr>
        <w:t>p</w:t>
      </w:r>
      <w:r>
        <w:rPr>
          <w:bCs/>
          <w:color w:val="595959" w:themeColor="text1" w:themeTint="A6"/>
          <w:lang w:val="es-ES_tradnl"/>
        </w:rPr>
        <w:t xml:space="preserve">articipación del FSV en la </w:t>
      </w:r>
      <w:r w:rsidR="00A214B6">
        <w:rPr>
          <w:bCs/>
          <w:color w:val="595959" w:themeColor="text1" w:themeTint="A6"/>
          <w:lang w:val="es-ES_tradnl"/>
        </w:rPr>
        <w:t>marcha por la Vida, la Paz y la Justicia</w:t>
      </w:r>
      <w:r>
        <w:rPr>
          <w:bCs/>
          <w:color w:val="595959" w:themeColor="text1" w:themeTint="A6"/>
          <w:lang w:val="es-ES_tradnl"/>
        </w:rPr>
        <w:t xml:space="preserve">, </w:t>
      </w:r>
      <w:r w:rsidR="00A214B6">
        <w:rPr>
          <w:bCs/>
          <w:color w:val="595959" w:themeColor="text1" w:themeTint="A6"/>
          <w:lang w:val="es-ES_tradnl"/>
        </w:rPr>
        <w:t>facilidades de crédito del FSV</w:t>
      </w:r>
      <w:r>
        <w:rPr>
          <w:bCs/>
          <w:color w:val="595959" w:themeColor="text1" w:themeTint="A6"/>
          <w:lang w:val="es-ES_tradnl"/>
        </w:rPr>
        <w:t xml:space="preserve">; </w:t>
      </w:r>
      <w:r w:rsidR="00766989">
        <w:rPr>
          <w:bCs/>
          <w:color w:val="595959" w:themeColor="text1" w:themeTint="A6"/>
          <w:lang w:val="es-ES_tradnl"/>
        </w:rPr>
        <w:t>c</w:t>
      </w:r>
      <w:r>
        <w:rPr>
          <w:bCs/>
          <w:color w:val="595959" w:themeColor="text1" w:themeTint="A6"/>
          <w:lang w:val="es-ES_tradnl"/>
        </w:rPr>
        <w:t>ómo acceder a un crédito con el FSV, condiciones y requisitos de financiamiento</w:t>
      </w:r>
      <w:r w:rsidR="00766989">
        <w:rPr>
          <w:bCs/>
          <w:color w:val="595959" w:themeColor="text1" w:themeTint="A6"/>
          <w:lang w:val="es-ES_tradnl"/>
        </w:rPr>
        <w:t>;</w:t>
      </w:r>
      <w:r>
        <w:rPr>
          <w:bCs/>
          <w:color w:val="595959" w:themeColor="text1" w:themeTint="A6"/>
          <w:lang w:val="es-ES_tradnl"/>
        </w:rPr>
        <w:t xml:space="preserve"> facilidades para el pago de la cuota del FSV, </w:t>
      </w:r>
      <w:r w:rsidR="00FE76BF">
        <w:rPr>
          <w:bCs/>
          <w:color w:val="595959" w:themeColor="text1" w:themeTint="A6"/>
          <w:lang w:val="es-ES_tradnl"/>
        </w:rPr>
        <w:t xml:space="preserve">apertura de la Sucursal Paseo, lanzamiento de la Promoción del Cliente Puntual para 2015, </w:t>
      </w:r>
      <w:r w:rsidR="00766989">
        <w:rPr>
          <w:bCs/>
          <w:color w:val="595959" w:themeColor="text1" w:themeTint="A6"/>
          <w:lang w:val="es-ES_tradnl"/>
        </w:rPr>
        <w:t xml:space="preserve">nuevos canales de pago con la contratación de más bancos, programas y líneas de financiamiento, </w:t>
      </w:r>
      <w:r w:rsidR="00901008">
        <w:rPr>
          <w:bCs/>
          <w:color w:val="595959" w:themeColor="text1" w:themeTint="A6"/>
          <w:lang w:val="es-ES_tradnl"/>
        </w:rPr>
        <w:t xml:space="preserve">tutoriales para el servicio de </w:t>
      </w:r>
      <w:proofErr w:type="spellStart"/>
      <w:r w:rsidR="00901008">
        <w:rPr>
          <w:bCs/>
          <w:color w:val="595959" w:themeColor="text1" w:themeTint="A6"/>
          <w:lang w:val="es-ES_tradnl"/>
        </w:rPr>
        <w:t>P@goes</w:t>
      </w:r>
      <w:proofErr w:type="spellEnd"/>
      <w:r w:rsidR="00901008">
        <w:rPr>
          <w:bCs/>
          <w:color w:val="595959" w:themeColor="text1" w:themeTint="A6"/>
          <w:lang w:val="es-ES_tradnl"/>
        </w:rPr>
        <w:t>,</w:t>
      </w:r>
      <w:r w:rsidR="004163FC">
        <w:rPr>
          <w:bCs/>
          <w:color w:val="595959" w:themeColor="text1" w:themeTint="A6"/>
          <w:lang w:val="es-ES_tradnl"/>
        </w:rPr>
        <w:t xml:space="preserve"> </w:t>
      </w:r>
      <w:r w:rsidR="00901008">
        <w:rPr>
          <w:bCs/>
          <w:color w:val="595959" w:themeColor="text1" w:themeTint="A6"/>
          <w:lang w:val="es-ES_tradnl"/>
        </w:rPr>
        <w:t>diversas entrevistas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973EC0">
        <w:rPr>
          <w:bCs/>
          <w:color w:val="595959" w:themeColor="text1" w:themeTint="A6"/>
          <w:lang w:val="es-ES_tradnl"/>
        </w:rPr>
        <w:t xml:space="preserve">apertura de ventanilla de atención al público en el Consulado de El Salvador en L.A., Informe </w:t>
      </w:r>
      <w:r w:rsidR="00973EC0" w:rsidRPr="00973EC0">
        <w:rPr>
          <w:bCs/>
          <w:color w:val="595959" w:themeColor="text1" w:themeTint="A6"/>
          <w:lang w:val="es-ES_tradnl"/>
        </w:rPr>
        <w:t>de resultados sector vivienda</w:t>
      </w:r>
      <w:r w:rsidR="00973EC0">
        <w:rPr>
          <w:bCs/>
          <w:color w:val="595959" w:themeColor="text1" w:themeTint="A6"/>
          <w:lang w:val="es-ES_tradnl"/>
        </w:rPr>
        <w:t>,</w:t>
      </w:r>
      <w:r w:rsidR="00973EC0" w:rsidRPr="00973EC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entre otros temas</w:t>
      </w:r>
      <w:r w:rsidRPr="00BF2A24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D7628D" w:rsidRDefault="00D7628D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E6ED0" w:rsidRPr="00F23904" w:rsidRDefault="004462E1" w:rsidP="00D4393B">
      <w:pPr>
        <w:spacing w:after="0" w:line="240" w:lineRule="auto"/>
        <w:ind w:firstLine="708"/>
        <w:jc w:val="right"/>
        <w:rPr>
          <w:bCs/>
          <w:color w:val="595959" w:themeColor="text1" w:themeTint="A6"/>
          <w:lang w:val="es-ES_tradnl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BF2A24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5E6ED0" w:rsidRPr="008A46FA">
        <w:rPr>
          <w:rFonts w:ascii="Chaparral Pro" w:hAnsi="Chaparral Pro"/>
          <w:b/>
          <w:color w:val="1F497D" w:themeColor="text2"/>
          <w:sz w:val="36"/>
          <w:szCs w:val="36"/>
        </w:rPr>
        <w:t>Foros web]</w:t>
      </w:r>
      <w:r w:rsidR="005E6ED0">
        <w:rPr>
          <w:b/>
          <w:bCs/>
          <w:color w:val="1F497D"/>
        </w:rPr>
        <w:t xml:space="preserve">  </w:t>
      </w:r>
    </w:p>
    <w:p w:rsidR="004841B3" w:rsidRDefault="004841B3" w:rsidP="00BF2A24">
      <w:pPr>
        <w:pStyle w:val="Default"/>
        <w:ind w:left="1353"/>
        <w:jc w:val="both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BF2A24" w:rsidRDefault="00D7628D" w:rsidP="002A5C97">
      <w:pPr>
        <w:pStyle w:val="Default"/>
        <w:ind w:left="1353"/>
        <w:jc w:val="both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El FSV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habilit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ó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en su 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momento en el 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sitio web un sistema de foros con diferentes temas de discusión, 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como parte del proceso de Estandarización de Sitios Web del Gobierno, en 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donde los ciudadanos aporta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ba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n sugerencias 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en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diferentes temas. A través de esta herramienta se 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dio respuesta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a dudas, consultas o sugerencias que los clientes realiza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ba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n. </w:t>
      </w:r>
    </w:p>
    <w:p w:rsidR="00BF2A24" w:rsidRDefault="00BF2A24" w:rsidP="002A5C97">
      <w:pPr>
        <w:pStyle w:val="Default"/>
        <w:ind w:left="1353"/>
        <w:jc w:val="both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5E6ED0" w:rsidRDefault="00BF2A24" w:rsidP="002A5C97">
      <w:pPr>
        <w:pStyle w:val="Default"/>
        <w:ind w:left="1353"/>
        <w:jc w:val="both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S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e </w:t>
      </w:r>
      <w:r w:rsidR="00D7628D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obtuvieron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desde el 2011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,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más de </w:t>
      </w:r>
      <w:r w:rsidR="005E6ED0" w:rsidRPr="00780272">
        <w:rPr>
          <w:rFonts w:asciiTheme="minorHAnsi" w:hAnsiTheme="minorHAnsi" w:cstheme="minorBidi"/>
          <w:b/>
          <w:bCs/>
          <w:color w:val="595959" w:themeColor="text1" w:themeTint="A6"/>
          <w:sz w:val="22"/>
          <w:szCs w:val="22"/>
          <w:lang w:val="es-ES_tradnl"/>
        </w:rPr>
        <w:t>90 mil visitas</w:t>
      </w:r>
      <w:r w:rsidR="005E6ED0" w:rsidRPr="00780272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a esto</w:t>
      </w:r>
      <w:r w:rsidR="005E6ED0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s foros y 56 mensajes aportados por los ciudadanos a los que se les </w:t>
      </w:r>
      <w:r w:rsidR="00D7628D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brindó</w:t>
      </w:r>
      <w:r w:rsidR="005E6ED0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seguimiento y respuesta.</w:t>
      </w:r>
    </w:p>
    <w:p w:rsidR="00BF2A24" w:rsidRDefault="00BF2A24" w:rsidP="002A5C97">
      <w:pPr>
        <w:pStyle w:val="Default"/>
        <w:ind w:left="1353"/>
        <w:jc w:val="both"/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</w:pPr>
    </w:p>
    <w:p w:rsidR="00A47C99" w:rsidRDefault="00D7628D" w:rsidP="00901008">
      <w:pPr>
        <w:pStyle w:val="Default"/>
        <w:ind w:left="1350"/>
        <w:jc w:val="both"/>
      </w:pPr>
      <w:r w:rsidRPr="00666D4E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Sin embargo, esta herramienta fue descontinuada, identificando nuevas formas de participación de la ciudadanía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de forma más directa (atención en Facebook, Contáctenos en la web, encuestas y buzones de sugerencias) y, según nuevos lineamientos de ITIGES </w:t>
      </w:r>
      <w:r w:rsidR="00D924EC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brindados en</w:t>
      </w:r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 2015, se realizará un nuevo proceso de estandarización de sitios web con la plataforma Word </w:t>
      </w:r>
      <w:proofErr w:type="spellStart"/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Press</w:t>
      </w:r>
      <w:proofErr w:type="spellEnd"/>
      <w:r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>, por lo que esta herramienta de Foros se sustituirá por nuevos mecanismos de participación</w:t>
      </w:r>
      <w:r w:rsidRPr="00666D4E">
        <w:rPr>
          <w:rFonts w:asciiTheme="minorHAnsi" w:hAnsiTheme="minorHAnsi" w:cstheme="minorBidi"/>
          <w:bCs/>
          <w:color w:val="595959" w:themeColor="text1" w:themeTint="A6"/>
          <w:sz w:val="22"/>
          <w:szCs w:val="22"/>
          <w:lang w:val="es-ES_tradnl"/>
        </w:rPr>
        <w:t xml:space="preserve">.   </w:t>
      </w:r>
    </w:p>
    <w:sectPr w:rsidR="00A47C99" w:rsidSect="004A5085"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2C" w:rsidRDefault="0000122C" w:rsidP="00F23904">
      <w:pPr>
        <w:spacing w:after="0" w:line="240" w:lineRule="auto"/>
      </w:pPr>
      <w:r>
        <w:separator/>
      </w:r>
    </w:p>
  </w:endnote>
  <w:endnote w:type="continuationSeparator" w:id="0">
    <w:p w:rsidR="0000122C" w:rsidRDefault="0000122C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00122C" w:rsidP="00EE2BB8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EE2BB8">
            <w:t>5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E526C" w:rsidRPr="00CE526C">
            <w:rPr>
              <w:noProof/>
              <w:color w:val="FFFFFF" w:themeColor="background1"/>
              <w:lang w:val="es-ES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2C" w:rsidRDefault="0000122C" w:rsidP="00F23904">
      <w:pPr>
        <w:spacing w:after="0" w:line="240" w:lineRule="auto"/>
      </w:pPr>
      <w:r>
        <w:separator/>
      </w:r>
    </w:p>
  </w:footnote>
  <w:footnote w:type="continuationSeparator" w:id="0">
    <w:p w:rsidR="0000122C" w:rsidRDefault="0000122C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0"/>
    <w:rsid w:val="0000100F"/>
    <w:rsid w:val="0000122C"/>
    <w:rsid w:val="00001D91"/>
    <w:rsid w:val="0001519B"/>
    <w:rsid w:val="00016A66"/>
    <w:rsid w:val="0001742A"/>
    <w:rsid w:val="00024BBB"/>
    <w:rsid w:val="00031EE2"/>
    <w:rsid w:val="00033B86"/>
    <w:rsid w:val="0003651B"/>
    <w:rsid w:val="0004058E"/>
    <w:rsid w:val="000601CF"/>
    <w:rsid w:val="00067EFE"/>
    <w:rsid w:val="00077F7E"/>
    <w:rsid w:val="0008502E"/>
    <w:rsid w:val="00086D1B"/>
    <w:rsid w:val="00091EF3"/>
    <w:rsid w:val="00097253"/>
    <w:rsid w:val="00097CEF"/>
    <w:rsid w:val="000B113E"/>
    <w:rsid w:val="000B263C"/>
    <w:rsid w:val="000B5E7A"/>
    <w:rsid w:val="000C2ACB"/>
    <w:rsid w:val="000C6871"/>
    <w:rsid w:val="000D1EE3"/>
    <w:rsid w:val="000D6C6B"/>
    <w:rsid w:val="000E52D3"/>
    <w:rsid w:val="00104332"/>
    <w:rsid w:val="00110570"/>
    <w:rsid w:val="001131C1"/>
    <w:rsid w:val="001169BE"/>
    <w:rsid w:val="00133033"/>
    <w:rsid w:val="0013773A"/>
    <w:rsid w:val="001551A5"/>
    <w:rsid w:val="00166F28"/>
    <w:rsid w:val="00167A7D"/>
    <w:rsid w:val="00171048"/>
    <w:rsid w:val="00171AFA"/>
    <w:rsid w:val="00176BCA"/>
    <w:rsid w:val="0017762A"/>
    <w:rsid w:val="00195532"/>
    <w:rsid w:val="0019590E"/>
    <w:rsid w:val="001967AA"/>
    <w:rsid w:val="001A535C"/>
    <w:rsid w:val="001B74F5"/>
    <w:rsid w:val="001B7823"/>
    <w:rsid w:val="001C7BFC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5057A"/>
    <w:rsid w:val="002548CB"/>
    <w:rsid w:val="002609AE"/>
    <w:rsid w:val="00262FA6"/>
    <w:rsid w:val="00266CE7"/>
    <w:rsid w:val="00273CA2"/>
    <w:rsid w:val="00282689"/>
    <w:rsid w:val="0028286C"/>
    <w:rsid w:val="00283869"/>
    <w:rsid w:val="00292500"/>
    <w:rsid w:val="0029348C"/>
    <w:rsid w:val="002A17CD"/>
    <w:rsid w:val="002A5C97"/>
    <w:rsid w:val="002B09C6"/>
    <w:rsid w:val="002B2C09"/>
    <w:rsid w:val="002B6C34"/>
    <w:rsid w:val="002C19EF"/>
    <w:rsid w:val="002C3A2D"/>
    <w:rsid w:val="002C3BD2"/>
    <w:rsid w:val="002C4415"/>
    <w:rsid w:val="002C5E90"/>
    <w:rsid w:val="002E16A4"/>
    <w:rsid w:val="002E1EB8"/>
    <w:rsid w:val="002E21A3"/>
    <w:rsid w:val="002F0014"/>
    <w:rsid w:val="002F0D2D"/>
    <w:rsid w:val="002F562C"/>
    <w:rsid w:val="00303C20"/>
    <w:rsid w:val="00304279"/>
    <w:rsid w:val="00306346"/>
    <w:rsid w:val="00307139"/>
    <w:rsid w:val="003247E2"/>
    <w:rsid w:val="00337790"/>
    <w:rsid w:val="00337BC7"/>
    <w:rsid w:val="00351BDE"/>
    <w:rsid w:val="0035625F"/>
    <w:rsid w:val="003631CB"/>
    <w:rsid w:val="00396515"/>
    <w:rsid w:val="003978EA"/>
    <w:rsid w:val="003A1FBB"/>
    <w:rsid w:val="003B03E7"/>
    <w:rsid w:val="003C53F9"/>
    <w:rsid w:val="003D70BF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63FC"/>
    <w:rsid w:val="00423247"/>
    <w:rsid w:val="00426BB9"/>
    <w:rsid w:val="00433991"/>
    <w:rsid w:val="00441B81"/>
    <w:rsid w:val="004462E1"/>
    <w:rsid w:val="00452D83"/>
    <w:rsid w:val="004562F9"/>
    <w:rsid w:val="004566E9"/>
    <w:rsid w:val="004735A0"/>
    <w:rsid w:val="00473FBB"/>
    <w:rsid w:val="00480134"/>
    <w:rsid w:val="004803CA"/>
    <w:rsid w:val="00480EAC"/>
    <w:rsid w:val="004841B3"/>
    <w:rsid w:val="004865F1"/>
    <w:rsid w:val="00486A23"/>
    <w:rsid w:val="00497369"/>
    <w:rsid w:val="00497839"/>
    <w:rsid w:val="004A0792"/>
    <w:rsid w:val="004A1C2A"/>
    <w:rsid w:val="004A5085"/>
    <w:rsid w:val="004B27A2"/>
    <w:rsid w:val="004B69E9"/>
    <w:rsid w:val="004C1AF3"/>
    <w:rsid w:val="004C64E7"/>
    <w:rsid w:val="004D64E6"/>
    <w:rsid w:val="004F1B2C"/>
    <w:rsid w:val="004F1E58"/>
    <w:rsid w:val="00521423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81236"/>
    <w:rsid w:val="0059456C"/>
    <w:rsid w:val="005A446C"/>
    <w:rsid w:val="005B3F08"/>
    <w:rsid w:val="005C271E"/>
    <w:rsid w:val="005C5AC2"/>
    <w:rsid w:val="005D39FF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411E7"/>
    <w:rsid w:val="00645C64"/>
    <w:rsid w:val="00652F47"/>
    <w:rsid w:val="00653789"/>
    <w:rsid w:val="00664B2E"/>
    <w:rsid w:val="00672CE9"/>
    <w:rsid w:val="00674785"/>
    <w:rsid w:val="006756E6"/>
    <w:rsid w:val="00680C3A"/>
    <w:rsid w:val="00682230"/>
    <w:rsid w:val="0068632A"/>
    <w:rsid w:val="00694F7D"/>
    <w:rsid w:val="00697855"/>
    <w:rsid w:val="006A5F87"/>
    <w:rsid w:val="006A66B6"/>
    <w:rsid w:val="006A71F4"/>
    <w:rsid w:val="006B0AFC"/>
    <w:rsid w:val="006B7EF6"/>
    <w:rsid w:val="006C5EBE"/>
    <w:rsid w:val="006D08E7"/>
    <w:rsid w:val="006D0DEC"/>
    <w:rsid w:val="006D14C5"/>
    <w:rsid w:val="006D5A20"/>
    <w:rsid w:val="006E273B"/>
    <w:rsid w:val="006E36E8"/>
    <w:rsid w:val="006F3127"/>
    <w:rsid w:val="00713024"/>
    <w:rsid w:val="007205E5"/>
    <w:rsid w:val="00721A8D"/>
    <w:rsid w:val="007225B7"/>
    <w:rsid w:val="007450D9"/>
    <w:rsid w:val="007560BC"/>
    <w:rsid w:val="00756E00"/>
    <w:rsid w:val="007574B6"/>
    <w:rsid w:val="00766989"/>
    <w:rsid w:val="00771D4A"/>
    <w:rsid w:val="007744F9"/>
    <w:rsid w:val="00780272"/>
    <w:rsid w:val="007813E5"/>
    <w:rsid w:val="007825CD"/>
    <w:rsid w:val="007911C3"/>
    <w:rsid w:val="00796CAA"/>
    <w:rsid w:val="00797249"/>
    <w:rsid w:val="007B0EEF"/>
    <w:rsid w:val="007B7AFD"/>
    <w:rsid w:val="007C75BB"/>
    <w:rsid w:val="007D1F93"/>
    <w:rsid w:val="007D235B"/>
    <w:rsid w:val="007E0384"/>
    <w:rsid w:val="007E0A97"/>
    <w:rsid w:val="007F15BC"/>
    <w:rsid w:val="00801B26"/>
    <w:rsid w:val="00805261"/>
    <w:rsid w:val="008168A2"/>
    <w:rsid w:val="0083055E"/>
    <w:rsid w:val="00835A0B"/>
    <w:rsid w:val="008405E0"/>
    <w:rsid w:val="00840EEA"/>
    <w:rsid w:val="00841AFF"/>
    <w:rsid w:val="00842CE1"/>
    <w:rsid w:val="00846F2B"/>
    <w:rsid w:val="0085151D"/>
    <w:rsid w:val="008530F1"/>
    <w:rsid w:val="00854C56"/>
    <w:rsid w:val="00857613"/>
    <w:rsid w:val="00864852"/>
    <w:rsid w:val="008734D7"/>
    <w:rsid w:val="0088091B"/>
    <w:rsid w:val="00880C9E"/>
    <w:rsid w:val="00886085"/>
    <w:rsid w:val="00886670"/>
    <w:rsid w:val="00886F0B"/>
    <w:rsid w:val="00887CBE"/>
    <w:rsid w:val="00896398"/>
    <w:rsid w:val="008A10E6"/>
    <w:rsid w:val="008A46FA"/>
    <w:rsid w:val="008A50DA"/>
    <w:rsid w:val="008B3871"/>
    <w:rsid w:val="008C2881"/>
    <w:rsid w:val="008C471A"/>
    <w:rsid w:val="008C5D98"/>
    <w:rsid w:val="008D1501"/>
    <w:rsid w:val="008E2AEB"/>
    <w:rsid w:val="008E2CA6"/>
    <w:rsid w:val="008E7FEF"/>
    <w:rsid w:val="008F64C9"/>
    <w:rsid w:val="00901008"/>
    <w:rsid w:val="00902777"/>
    <w:rsid w:val="00902A83"/>
    <w:rsid w:val="00907C2F"/>
    <w:rsid w:val="00907ED5"/>
    <w:rsid w:val="00910F69"/>
    <w:rsid w:val="00913325"/>
    <w:rsid w:val="00914554"/>
    <w:rsid w:val="009148B6"/>
    <w:rsid w:val="0092492E"/>
    <w:rsid w:val="00926714"/>
    <w:rsid w:val="00933289"/>
    <w:rsid w:val="00935AEA"/>
    <w:rsid w:val="00945732"/>
    <w:rsid w:val="009518E1"/>
    <w:rsid w:val="00951931"/>
    <w:rsid w:val="00955AE3"/>
    <w:rsid w:val="009721B6"/>
    <w:rsid w:val="00973CCB"/>
    <w:rsid w:val="00973EC0"/>
    <w:rsid w:val="0098229D"/>
    <w:rsid w:val="00982DDD"/>
    <w:rsid w:val="00982F09"/>
    <w:rsid w:val="009905CE"/>
    <w:rsid w:val="009A77BB"/>
    <w:rsid w:val="009B256B"/>
    <w:rsid w:val="009C223B"/>
    <w:rsid w:val="009D3512"/>
    <w:rsid w:val="009D399B"/>
    <w:rsid w:val="009E2D54"/>
    <w:rsid w:val="009F49D5"/>
    <w:rsid w:val="009F5BAD"/>
    <w:rsid w:val="009F64AF"/>
    <w:rsid w:val="009F6988"/>
    <w:rsid w:val="009F6A44"/>
    <w:rsid w:val="009F7598"/>
    <w:rsid w:val="00A014B0"/>
    <w:rsid w:val="00A11149"/>
    <w:rsid w:val="00A11D73"/>
    <w:rsid w:val="00A12FBA"/>
    <w:rsid w:val="00A13346"/>
    <w:rsid w:val="00A214B6"/>
    <w:rsid w:val="00A218B5"/>
    <w:rsid w:val="00A2219E"/>
    <w:rsid w:val="00A41E66"/>
    <w:rsid w:val="00A42623"/>
    <w:rsid w:val="00A47351"/>
    <w:rsid w:val="00A476C2"/>
    <w:rsid w:val="00A47989"/>
    <w:rsid w:val="00A47C99"/>
    <w:rsid w:val="00A57679"/>
    <w:rsid w:val="00A60280"/>
    <w:rsid w:val="00A612CE"/>
    <w:rsid w:val="00A8182A"/>
    <w:rsid w:val="00A85A56"/>
    <w:rsid w:val="00A86826"/>
    <w:rsid w:val="00A93913"/>
    <w:rsid w:val="00A944A6"/>
    <w:rsid w:val="00AA2109"/>
    <w:rsid w:val="00AA6D02"/>
    <w:rsid w:val="00AB0C30"/>
    <w:rsid w:val="00AB674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2335"/>
    <w:rsid w:val="00B150E5"/>
    <w:rsid w:val="00B16491"/>
    <w:rsid w:val="00B168D2"/>
    <w:rsid w:val="00B231DA"/>
    <w:rsid w:val="00B276C7"/>
    <w:rsid w:val="00B307B2"/>
    <w:rsid w:val="00B358C5"/>
    <w:rsid w:val="00B42C33"/>
    <w:rsid w:val="00B446E0"/>
    <w:rsid w:val="00B50012"/>
    <w:rsid w:val="00B50DDF"/>
    <w:rsid w:val="00B53721"/>
    <w:rsid w:val="00B6056C"/>
    <w:rsid w:val="00B63399"/>
    <w:rsid w:val="00B812EB"/>
    <w:rsid w:val="00B93878"/>
    <w:rsid w:val="00B939A9"/>
    <w:rsid w:val="00BA75AE"/>
    <w:rsid w:val="00BA7865"/>
    <w:rsid w:val="00BC1691"/>
    <w:rsid w:val="00BC6D16"/>
    <w:rsid w:val="00BD02ED"/>
    <w:rsid w:val="00BD29DB"/>
    <w:rsid w:val="00BD2C86"/>
    <w:rsid w:val="00BE2A3F"/>
    <w:rsid w:val="00BF2A24"/>
    <w:rsid w:val="00BF59C8"/>
    <w:rsid w:val="00C0406C"/>
    <w:rsid w:val="00C13E7C"/>
    <w:rsid w:val="00C168E5"/>
    <w:rsid w:val="00C23BB6"/>
    <w:rsid w:val="00C23F6B"/>
    <w:rsid w:val="00C37FA5"/>
    <w:rsid w:val="00C41E95"/>
    <w:rsid w:val="00C50FBF"/>
    <w:rsid w:val="00C66BFE"/>
    <w:rsid w:val="00C72F97"/>
    <w:rsid w:val="00C848D6"/>
    <w:rsid w:val="00CA1C24"/>
    <w:rsid w:val="00CA2D77"/>
    <w:rsid w:val="00CB38AC"/>
    <w:rsid w:val="00CB7043"/>
    <w:rsid w:val="00CC2222"/>
    <w:rsid w:val="00CD0480"/>
    <w:rsid w:val="00CD1E79"/>
    <w:rsid w:val="00CD2EAD"/>
    <w:rsid w:val="00CD33F0"/>
    <w:rsid w:val="00CE526C"/>
    <w:rsid w:val="00CF34C1"/>
    <w:rsid w:val="00CF3D8D"/>
    <w:rsid w:val="00CF5EF4"/>
    <w:rsid w:val="00D02F50"/>
    <w:rsid w:val="00D0414D"/>
    <w:rsid w:val="00D04A77"/>
    <w:rsid w:val="00D17785"/>
    <w:rsid w:val="00D216C5"/>
    <w:rsid w:val="00D24BF6"/>
    <w:rsid w:val="00D25E7D"/>
    <w:rsid w:val="00D334F4"/>
    <w:rsid w:val="00D4393B"/>
    <w:rsid w:val="00D4422C"/>
    <w:rsid w:val="00D449FD"/>
    <w:rsid w:val="00D62F33"/>
    <w:rsid w:val="00D6585D"/>
    <w:rsid w:val="00D7628D"/>
    <w:rsid w:val="00D80F63"/>
    <w:rsid w:val="00D83316"/>
    <w:rsid w:val="00D836A4"/>
    <w:rsid w:val="00D84CCC"/>
    <w:rsid w:val="00D924EC"/>
    <w:rsid w:val="00D92955"/>
    <w:rsid w:val="00DA10B1"/>
    <w:rsid w:val="00DA181A"/>
    <w:rsid w:val="00DA18E8"/>
    <w:rsid w:val="00DA3BAF"/>
    <w:rsid w:val="00DC00FA"/>
    <w:rsid w:val="00DE2A0B"/>
    <w:rsid w:val="00DF2D75"/>
    <w:rsid w:val="00E02746"/>
    <w:rsid w:val="00E03BEE"/>
    <w:rsid w:val="00E0677D"/>
    <w:rsid w:val="00E26B5B"/>
    <w:rsid w:val="00E43DF1"/>
    <w:rsid w:val="00E52AB9"/>
    <w:rsid w:val="00E5639E"/>
    <w:rsid w:val="00E601F4"/>
    <w:rsid w:val="00E6447E"/>
    <w:rsid w:val="00E74678"/>
    <w:rsid w:val="00E807FA"/>
    <w:rsid w:val="00E86148"/>
    <w:rsid w:val="00E917C8"/>
    <w:rsid w:val="00EA36DB"/>
    <w:rsid w:val="00EC010C"/>
    <w:rsid w:val="00EC18C3"/>
    <w:rsid w:val="00EC286B"/>
    <w:rsid w:val="00EC29F4"/>
    <w:rsid w:val="00ED0674"/>
    <w:rsid w:val="00ED1669"/>
    <w:rsid w:val="00ED242B"/>
    <w:rsid w:val="00ED2667"/>
    <w:rsid w:val="00ED38C7"/>
    <w:rsid w:val="00ED38E1"/>
    <w:rsid w:val="00ED5F1F"/>
    <w:rsid w:val="00EE2BB8"/>
    <w:rsid w:val="00EE3646"/>
    <w:rsid w:val="00EE5908"/>
    <w:rsid w:val="00EF23E6"/>
    <w:rsid w:val="00EF2788"/>
    <w:rsid w:val="00EF2FF1"/>
    <w:rsid w:val="00F03EE3"/>
    <w:rsid w:val="00F11C00"/>
    <w:rsid w:val="00F1256C"/>
    <w:rsid w:val="00F1265E"/>
    <w:rsid w:val="00F15D91"/>
    <w:rsid w:val="00F17442"/>
    <w:rsid w:val="00F21296"/>
    <w:rsid w:val="00F221BD"/>
    <w:rsid w:val="00F22295"/>
    <w:rsid w:val="00F23904"/>
    <w:rsid w:val="00F25E62"/>
    <w:rsid w:val="00F31DDB"/>
    <w:rsid w:val="00F37F70"/>
    <w:rsid w:val="00F40DCF"/>
    <w:rsid w:val="00F41FC8"/>
    <w:rsid w:val="00F47E3A"/>
    <w:rsid w:val="00F54A79"/>
    <w:rsid w:val="00F63E5C"/>
    <w:rsid w:val="00F64931"/>
    <w:rsid w:val="00F70088"/>
    <w:rsid w:val="00F7556F"/>
    <w:rsid w:val="00F836EF"/>
    <w:rsid w:val="00F866EB"/>
    <w:rsid w:val="00F97DB3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DF098-E0F4-4E52-BDE5-A45B156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ARTAMENTAL\BuzonComunicaciones$\2015\COMUNICACI&#211;N%20INTERNA\GRAFICOS%20DE%20DATOS%202015\Seguimiento-Publicidad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ARTAMENTAL\BuzonComunicaciones$\2015\COMUNICACI&#211;N%20INTERNA\GRAFICOS%20DE%20DATOS%202015\Seguimiento-Publicidad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Canales!$B$88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Canales!$B$89</c:f>
              <c:numCache>
                <c:formatCode>General</c:formatCode>
                <c:ptCount val="1"/>
                <c:pt idx="0">
                  <c:v>757</c:v>
                </c:pt>
              </c:numCache>
            </c:numRef>
          </c:val>
        </c:ser>
        <c:ser>
          <c:idx val="1"/>
          <c:order val="1"/>
          <c:tx>
            <c:strRef>
              <c:f>Canales!$C$88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Canales!$C$89</c:f>
              <c:numCache>
                <c:formatCode>General</c:formatCode>
                <c:ptCount val="1"/>
                <c:pt idx="0">
                  <c:v>538</c:v>
                </c:pt>
              </c:numCache>
            </c:numRef>
          </c:val>
        </c:ser>
        <c:ser>
          <c:idx val="2"/>
          <c:order val="2"/>
          <c:tx>
            <c:strRef>
              <c:f>Canales!$D$88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Canales!$D$89</c:f>
              <c:numCache>
                <c:formatCode>General</c:formatCode>
                <c:ptCount val="1"/>
                <c:pt idx="0">
                  <c:v>419</c:v>
                </c:pt>
              </c:numCache>
            </c:numRef>
          </c:val>
        </c:ser>
        <c:ser>
          <c:idx val="3"/>
          <c:order val="3"/>
          <c:tx>
            <c:strRef>
              <c:f>Canales!$E$88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Canales!$E$89</c:f>
              <c:numCache>
                <c:formatCode>#,##0</c:formatCode>
                <c:ptCount val="1"/>
                <c:pt idx="0">
                  <c:v>346</c:v>
                </c:pt>
              </c:numCache>
            </c:numRef>
          </c:val>
        </c:ser>
        <c:ser>
          <c:idx val="4"/>
          <c:order val="4"/>
          <c:tx>
            <c:strRef>
              <c:f>Canales!$F$88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Canales!$F$89</c:f>
              <c:numCache>
                <c:formatCode>#,##0</c:formatCode>
                <c:ptCount val="1"/>
                <c:pt idx="0">
                  <c:v>369</c:v>
                </c:pt>
              </c:numCache>
            </c:numRef>
          </c:val>
        </c:ser>
        <c:ser>
          <c:idx val="5"/>
          <c:order val="5"/>
          <c:tx>
            <c:strRef>
              <c:f>Canales!$G$88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Canales!$G$89</c:f>
              <c:numCache>
                <c:formatCode>#,##0</c:formatCode>
                <c:ptCount val="1"/>
                <c:pt idx="0">
                  <c:v>460</c:v>
                </c:pt>
              </c:numCache>
            </c:numRef>
          </c:val>
        </c:ser>
        <c:ser>
          <c:idx val="6"/>
          <c:order val="6"/>
          <c:tx>
            <c:strRef>
              <c:f>Canales!$H$88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Canales!$H$89</c:f>
              <c:numCache>
                <c:formatCode>#,##0</c:formatCode>
                <c:ptCount val="1"/>
                <c:pt idx="0">
                  <c:v>553</c:v>
                </c:pt>
              </c:numCache>
            </c:numRef>
          </c:val>
        </c:ser>
        <c:ser>
          <c:idx val="7"/>
          <c:order val="7"/>
          <c:tx>
            <c:strRef>
              <c:f>Canales!$I$88</c:f>
              <c:strCache>
                <c:ptCount val="1"/>
                <c:pt idx="0">
                  <c:v>agos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Canales!$I$89</c:f>
              <c:numCache>
                <c:formatCode>#,##0</c:formatCode>
                <c:ptCount val="1"/>
                <c:pt idx="0">
                  <c:v>386</c:v>
                </c:pt>
              </c:numCache>
            </c:numRef>
          </c:val>
        </c:ser>
        <c:ser>
          <c:idx val="8"/>
          <c:order val="8"/>
          <c:tx>
            <c:strRef>
              <c:f>Canales!$J$88</c:f>
              <c:strCache>
                <c:ptCount val="1"/>
                <c:pt idx="0">
                  <c:v>sep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Canales!$J$89</c:f>
              <c:numCache>
                <c:formatCode>#,##0</c:formatCode>
                <c:ptCount val="1"/>
                <c:pt idx="0">
                  <c:v>410</c:v>
                </c:pt>
              </c:numCache>
            </c:numRef>
          </c:val>
        </c:ser>
        <c:ser>
          <c:idx val="9"/>
          <c:order val="9"/>
          <c:tx>
            <c:strRef>
              <c:f>Canales!$K$88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918717979990342E-3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Canales!$K$89</c:f>
              <c:numCache>
                <c:formatCode>#,##0</c:formatCode>
                <c:ptCount val="1"/>
                <c:pt idx="0">
                  <c:v>448</c:v>
                </c:pt>
              </c:numCache>
            </c:numRef>
          </c:val>
        </c:ser>
        <c:ser>
          <c:idx val="10"/>
          <c:order val="10"/>
          <c:tx>
            <c:strRef>
              <c:f>Canales!$L$88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08620517198649E-2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Canales!$L$89</c:f>
              <c:numCache>
                <c:formatCode>#,##0</c:formatCode>
                <c:ptCount val="1"/>
                <c:pt idx="0">
                  <c:v>334</c:v>
                </c:pt>
              </c:numCache>
            </c:numRef>
          </c:val>
        </c:ser>
        <c:ser>
          <c:idx val="11"/>
          <c:order val="11"/>
          <c:tx>
            <c:strRef>
              <c:f>Canales!$M$88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615759884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Canales!$M$89</c:f>
              <c:numCache>
                <c:formatCode>#,##0</c:formatCode>
                <c:ptCount val="1"/>
                <c:pt idx="0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7125240"/>
        <c:axId val="527126416"/>
        <c:axId val="0"/>
      </c:bar3DChart>
      <c:catAx>
        <c:axId val="527125240"/>
        <c:scaling>
          <c:orientation val="minMax"/>
        </c:scaling>
        <c:delete val="0"/>
        <c:axPos val="b"/>
        <c:majorTickMark val="out"/>
        <c:minorTickMark val="none"/>
        <c:tickLblPos val="nextTo"/>
        <c:crossAx val="527126416"/>
        <c:crosses val="autoZero"/>
        <c:auto val="1"/>
        <c:lblAlgn val="ctr"/>
        <c:lblOffset val="100"/>
        <c:noMultiLvlLbl val="0"/>
      </c:catAx>
      <c:valAx>
        <c:axId val="52712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125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Canales!$B$108:$M$108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Canales!$B$109:$M$109</c:f>
              <c:numCache>
                <c:formatCode>#,##0</c:formatCode>
                <c:ptCount val="12"/>
                <c:pt idx="0">
                  <c:v>6146</c:v>
                </c:pt>
                <c:pt idx="1">
                  <c:v>1159</c:v>
                </c:pt>
                <c:pt idx="2">
                  <c:v>1094</c:v>
                </c:pt>
                <c:pt idx="3">
                  <c:v>788</c:v>
                </c:pt>
                <c:pt idx="4">
                  <c:v>899</c:v>
                </c:pt>
                <c:pt idx="5">
                  <c:v>2859</c:v>
                </c:pt>
                <c:pt idx="6">
                  <c:v>4855</c:v>
                </c:pt>
                <c:pt idx="7">
                  <c:v>1946</c:v>
                </c:pt>
                <c:pt idx="8">
                  <c:v>3867</c:v>
                </c:pt>
                <c:pt idx="9">
                  <c:v>929</c:v>
                </c:pt>
                <c:pt idx="10">
                  <c:v>769</c:v>
                </c:pt>
                <c:pt idx="11">
                  <c:v>1089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8788808"/>
        <c:axId val="428790768"/>
      </c:lineChart>
      <c:catAx>
        <c:axId val="428788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8790768"/>
        <c:crosses val="autoZero"/>
        <c:auto val="1"/>
        <c:lblAlgn val="ctr"/>
        <c:lblOffset val="100"/>
        <c:noMultiLvlLbl val="0"/>
      </c:catAx>
      <c:valAx>
        <c:axId val="428790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28788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Canales!$B$152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Canales!$B$153</c:f>
              <c:numCache>
                <c:formatCode>General</c:formatCode>
                <c:ptCount val="1"/>
                <c:pt idx="0">
                  <c:v>835</c:v>
                </c:pt>
              </c:numCache>
            </c:numRef>
          </c:val>
        </c:ser>
        <c:ser>
          <c:idx val="1"/>
          <c:order val="1"/>
          <c:tx>
            <c:strRef>
              <c:f>Canales!$C$152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Canales!$C$153</c:f>
              <c:numCache>
                <c:formatCode>General</c:formatCode>
                <c:ptCount val="1"/>
                <c:pt idx="0">
                  <c:v>525</c:v>
                </c:pt>
              </c:numCache>
            </c:numRef>
          </c:val>
        </c:ser>
        <c:ser>
          <c:idx val="2"/>
          <c:order val="2"/>
          <c:tx>
            <c:strRef>
              <c:f>Canales!$D$152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Canales!$D$153</c:f>
              <c:numCache>
                <c:formatCode>General</c:formatCode>
                <c:ptCount val="1"/>
                <c:pt idx="0">
                  <c:v>407</c:v>
                </c:pt>
              </c:numCache>
            </c:numRef>
          </c:val>
        </c:ser>
        <c:ser>
          <c:idx val="3"/>
          <c:order val="3"/>
          <c:tx>
            <c:strRef>
              <c:f>Canales!$E$152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Canales!$E$153</c:f>
              <c:numCache>
                <c:formatCode>#,##0</c:formatCode>
                <c:ptCount val="1"/>
                <c:pt idx="0">
                  <c:v>269</c:v>
                </c:pt>
              </c:numCache>
            </c:numRef>
          </c:val>
        </c:ser>
        <c:ser>
          <c:idx val="4"/>
          <c:order val="4"/>
          <c:tx>
            <c:strRef>
              <c:f>Canales!$F$152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Canales!$F$153</c:f>
              <c:numCache>
                <c:formatCode>#,##0</c:formatCode>
                <c:ptCount val="1"/>
                <c:pt idx="0">
                  <c:v>344</c:v>
                </c:pt>
              </c:numCache>
            </c:numRef>
          </c:val>
        </c:ser>
        <c:ser>
          <c:idx val="5"/>
          <c:order val="5"/>
          <c:tx>
            <c:strRef>
              <c:f>Canales!$G$152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Canales!$G$153</c:f>
              <c:numCache>
                <c:formatCode>#,##0</c:formatCode>
                <c:ptCount val="1"/>
                <c:pt idx="0">
                  <c:v>352</c:v>
                </c:pt>
              </c:numCache>
            </c:numRef>
          </c:val>
        </c:ser>
        <c:ser>
          <c:idx val="6"/>
          <c:order val="6"/>
          <c:tx>
            <c:strRef>
              <c:f>Canales!$H$152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Canales!$H$153</c:f>
              <c:numCache>
                <c:formatCode>#,##0</c:formatCode>
                <c:ptCount val="1"/>
                <c:pt idx="0">
                  <c:v>556</c:v>
                </c:pt>
              </c:numCache>
            </c:numRef>
          </c:val>
        </c:ser>
        <c:ser>
          <c:idx val="7"/>
          <c:order val="7"/>
          <c:tx>
            <c:strRef>
              <c:f>Canales!$I$152</c:f>
              <c:strCache>
                <c:ptCount val="1"/>
                <c:pt idx="0">
                  <c:v>agos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Canales!$I$153</c:f>
              <c:numCache>
                <c:formatCode>#,##0</c:formatCode>
                <c:ptCount val="1"/>
                <c:pt idx="0">
                  <c:v>186</c:v>
                </c:pt>
              </c:numCache>
            </c:numRef>
          </c:val>
        </c:ser>
        <c:ser>
          <c:idx val="8"/>
          <c:order val="8"/>
          <c:tx>
            <c:strRef>
              <c:f>Canales!$J$152</c:f>
              <c:strCache>
                <c:ptCount val="1"/>
                <c:pt idx="0">
                  <c:v>sep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s-SV" sz="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Canales!$J$153</c:f>
              <c:numCache>
                <c:formatCode>#,##0</c:formatCode>
                <c:ptCount val="1"/>
                <c:pt idx="0">
                  <c:v>380</c:v>
                </c:pt>
              </c:numCache>
            </c:numRef>
          </c:val>
        </c:ser>
        <c:ser>
          <c:idx val="9"/>
          <c:order val="9"/>
          <c:tx>
            <c:strRef>
              <c:f>Canales!$K$152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918717979990342E-3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Canales!$K$153</c:f>
              <c:numCache>
                <c:formatCode>#,##0</c:formatCode>
                <c:ptCount val="1"/>
                <c:pt idx="0">
                  <c:v>424</c:v>
                </c:pt>
              </c:numCache>
            </c:numRef>
          </c:val>
        </c:ser>
        <c:ser>
          <c:idx val="10"/>
          <c:order val="10"/>
          <c:tx>
            <c:strRef>
              <c:f>Canales!$L$152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08620517198649E-2"/>
                  <c:y val="-5.177992471932834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Canales!$L$153</c:f>
              <c:numCache>
                <c:formatCode>#,##0</c:formatCode>
                <c:ptCount val="1"/>
                <c:pt idx="0">
                  <c:v>350</c:v>
                </c:pt>
              </c:numCache>
            </c:numRef>
          </c:val>
        </c:ser>
        <c:ser>
          <c:idx val="11"/>
          <c:order val="11"/>
          <c:tx>
            <c:strRef>
              <c:f>Canales!$M$152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615759884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Canales!$M$153</c:f>
              <c:numCache>
                <c:formatCode>#,##0</c:formatCode>
                <c:ptCount val="1"/>
                <c:pt idx="0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906256"/>
        <c:axId val="270905864"/>
        <c:axId val="0"/>
      </c:bar3DChart>
      <c:catAx>
        <c:axId val="27090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70905864"/>
        <c:crosses val="autoZero"/>
        <c:auto val="1"/>
        <c:lblAlgn val="ctr"/>
        <c:lblOffset val="100"/>
        <c:noMultiLvlLbl val="0"/>
      </c:catAx>
      <c:valAx>
        <c:axId val="270905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906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2015-12-01T00:00:00</PublishDate>
  <Abstract>En este informe describe los resultados de los diferentes mecanismos de participación ciudadana implementados por el FSV durante el año 2015.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Susana Guadalupe Vasquez Mendez</cp:lastModifiedBy>
  <cp:revision>4</cp:revision>
  <cp:lastPrinted>2013-10-17T18:39:00Z</cp:lastPrinted>
  <dcterms:created xsi:type="dcterms:W3CDTF">2016-01-12T04:13:00Z</dcterms:created>
  <dcterms:modified xsi:type="dcterms:W3CDTF">2016-01-12T04:14:00Z</dcterms:modified>
</cp:coreProperties>
</file>