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E" w:rsidRDefault="003B66AE" w:rsidP="003B66AE">
      <w:pPr>
        <w:pStyle w:val="Default"/>
        <w:rPr>
          <w:rFonts w:cstheme="minorBidi"/>
          <w:color w:val="auto"/>
        </w:rPr>
      </w:pPr>
      <w:r>
        <w:t xml:space="preserve"> </w:t>
      </w:r>
    </w:p>
    <w:tbl>
      <w:tblPr>
        <w:tblStyle w:val="Listaclara-nfasis6"/>
        <w:tblW w:w="9030" w:type="dxa"/>
        <w:tblLayout w:type="fixed"/>
        <w:tblLook w:val="04A0"/>
      </w:tblPr>
      <w:tblGrid>
        <w:gridCol w:w="2928"/>
        <w:gridCol w:w="2928"/>
        <w:gridCol w:w="3165"/>
        <w:gridCol w:w="9"/>
      </w:tblGrid>
      <w:tr w:rsidR="003B66AE" w:rsidRPr="002F78A3" w:rsidTr="002F78A3">
        <w:trPr>
          <w:gridAfter w:val="1"/>
          <w:cnfStyle w:val="100000000000"/>
          <w:wAfter w:w="9" w:type="dxa"/>
          <w:trHeight w:val="110"/>
        </w:trPr>
        <w:tc>
          <w:tcPr>
            <w:cnfStyle w:val="001000000000"/>
            <w:tcW w:w="9030" w:type="dxa"/>
            <w:gridSpan w:val="3"/>
          </w:tcPr>
          <w:p w:rsidR="003B66AE" w:rsidRPr="002F78A3" w:rsidRDefault="003B66AE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3B66AE" w:rsidRPr="002F78A3" w:rsidRDefault="00277C53" w:rsidP="00AB398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 xml:space="preserve">MECANISMOS DE </w:t>
            </w:r>
            <w:r w:rsidR="003B66AE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>RENDICIÓN DE CUENTAS:</w:t>
            </w:r>
          </w:p>
          <w:p w:rsidR="003B66AE" w:rsidRPr="002F78A3" w:rsidRDefault="003B66AE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</w:p>
        </w:tc>
      </w:tr>
      <w:tr w:rsidR="003B66AE" w:rsidRPr="002F78A3" w:rsidTr="002F78A3">
        <w:trPr>
          <w:gridAfter w:val="1"/>
          <w:cnfStyle w:val="000000100000"/>
          <w:wAfter w:w="9" w:type="dxa"/>
          <w:trHeight w:val="981"/>
        </w:trPr>
        <w:tc>
          <w:tcPr>
            <w:cnfStyle w:val="001000000000"/>
            <w:tcW w:w="9030" w:type="dxa"/>
            <w:gridSpan w:val="3"/>
          </w:tcPr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 xml:space="preserve">Objetivo: </w:t>
            </w:r>
          </w:p>
          <w:p w:rsidR="00AB3989" w:rsidRPr="002F78A3" w:rsidRDefault="00AB3989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Someter al escrutinio público el trabajo desarrollado por el IPSFA, en materia de acceso a la información pública, transparencia y la administración del recurso destinado para su funcionamiento. </w:t>
            </w:r>
          </w:p>
        </w:tc>
      </w:tr>
      <w:tr w:rsidR="003B66AE" w:rsidRPr="002F78A3" w:rsidTr="002F78A3">
        <w:trPr>
          <w:gridAfter w:val="1"/>
          <w:wAfter w:w="9" w:type="dxa"/>
          <w:trHeight w:val="984"/>
        </w:trPr>
        <w:tc>
          <w:tcPr>
            <w:cnfStyle w:val="001000000000"/>
            <w:tcW w:w="9030" w:type="dxa"/>
            <w:gridSpan w:val="3"/>
          </w:tcPr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 xml:space="preserve">Participación: </w:t>
            </w:r>
          </w:p>
          <w:p w:rsidR="00AB3989" w:rsidRPr="002F78A3" w:rsidRDefault="00AB3989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A través de este espacio el Instituto facilita la participación de representantes de la sociedad civil, sector político, organizaciones, fundaciones y funcionarios comprometidos con la nueva cultura de transparencia y acceso a la información pública. </w:t>
            </w:r>
          </w:p>
        </w:tc>
      </w:tr>
      <w:tr w:rsidR="003B66AE" w:rsidRPr="002F78A3" w:rsidTr="002F78A3">
        <w:trPr>
          <w:gridAfter w:val="1"/>
          <w:cnfStyle w:val="000000100000"/>
          <w:wAfter w:w="9" w:type="dxa"/>
          <w:trHeight w:val="518"/>
        </w:trPr>
        <w:tc>
          <w:tcPr>
            <w:cnfStyle w:val="001000000000"/>
            <w:tcW w:w="9030" w:type="dxa"/>
            <w:gridSpan w:val="3"/>
          </w:tcPr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3B66AE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 xml:space="preserve">Requisitos de participación: </w:t>
            </w:r>
          </w:p>
          <w:p w:rsidR="00AB3989" w:rsidRPr="002F78A3" w:rsidRDefault="00AB3989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</w:p>
          <w:p w:rsidR="00277C53" w:rsidRPr="002F78A3" w:rsidRDefault="003B66AE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Las Rendiciones de Cuentas del Instituto son de carácter público y no existen requisitos para participar. </w:t>
            </w:r>
            <w:r w:rsidR="00277C5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El Instituto llevará a cabo la rendición anual de cuentas a través del Ministerio de</w:t>
            </w:r>
          </w:p>
          <w:p w:rsidR="00277C53" w:rsidRPr="002F78A3" w:rsidRDefault="00277C5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la Defensa Nacional, haciendo entrega de la información, a efecto que sea</w:t>
            </w:r>
          </w:p>
          <w:p w:rsidR="00277C53" w:rsidRPr="002F78A3" w:rsidRDefault="00277C5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incluida en el informe general correspondiente, en atención a lo establecido en el</w:t>
            </w:r>
          </w:p>
          <w:p w:rsidR="00277C53" w:rsidRPr="002F78A3" w:rsidRDefault="00277C5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Artículo 11 de la Ley del IPSFA. </w:t>
            </w:r>
          </w:p>
        </w:tc>
      </w:tr>
      <w:tr w:rsidR="00277C53" w:rsidRPr="002F78A3" w:rsidTr="002F78A3">
        <w:trPr>
          <w:gridAfter w:val="1"/>
          <w:wAfter w:w="9" w:type="dxa"/>
          <w:trHeight w:val="518"/>
        </w:trPr>
        <w:tc>
          <w:tcPr>
            <w:cnfStyle w:val="001000000000"/>
            <w:tcW w:w="9030" w:type="dxa"/>
            <w:gridSpan w:val="3"/>
          </w:tcPr>
          <w:p w:rsidR="00321973" w:rsidRPr="002F78A3" w:rsidRDefault="0032197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277C53" w:rsidRPr="002F78A3" w:rsidRDefault="0032197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>Detalle de los mecanismos de Rendición de Cuentas del IPSFA</w:t>
            </w:r>
            <w:r w:rsidR="00277C5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u w:val="single"/>
              </w:rPr>
              <w:t xml:space="preserve">: </w:t>
            </w:r>
          </w:p>
          <w:p w:rsidR="00AB3989" w:rsidRPr="002F78A3" w:rsidRDefault="00AB3989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277C53" w:rsidRPr="002F78A3" w:rsidRDefault="00321973" w:rsidP="00AB3989">
            <w:pPr>
              <w:pStyle w:val="Default"/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E</w:t>
            </w:r>
            <w:r w:rsidR="00277C5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starán constituidos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="00277C5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básicamente por la divulgación de la siguiente información:</w:t>
            </w:r>
          </w:p>
          <w:p w:rsidR="00321973" w:rsidRPr="002F78A3" w:rsidRDefault="00277C53" w:rsidP="00AB398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Indicadores de Gestión, establecidos por el Instituto de Acceso a la Información</w:t>
            </w:r>
            <w:r w:rsidR="0032197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Pública.</w:t>
            </w:r>
          </w:p>
          <w:p w:rsidR="00321973" w:rsidRPr="002F78A3" w:rsidRDefault="00277C53" w:rsidP="00AB398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Memoria Anual de Labores, la cual deberá contener el informe de gestiones</w:t>
            </w:r>
            <w:r w:rsidR="0032197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Institucionales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, principalmente en las áreas de servicios, administrativo y</w:t>
            </w:r>
            <w:r w:rsidR="0032197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Financiero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.</w:t>
            </w:r>
          </w:p>
          <w:p w:rsidR="00321973" w:rsidRPr="002F78A3" w:rsidRDefault="00277C53" w:rsidP="00AB398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La publicación de Estados Financieros cada seis meses.</w:t>
            </w:r>
          </w:p>
          <w:p w:rsidR="00AB3989" w:rsidRPr="002F78A3" w:rsidRDefault="00277C53" w:rsidP="00AB398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La publicación de las estadísticas que prepare la Gerencia de Prestaciones, a las</w:t>
            </w:r>
            <w:r w:rsidR="0032197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>que deberá incluirse los indicadores de sexo y edad, así como de cualquier otro</w:t>
            </w:r>
            <w:r w:rsidR="00321973"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que</w:t>
            </w:r>
            <w:r w:rsidRPr="002F78A3"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</w:rPr>
              <w:t xml:space="preserve"> permita que el ciudadano pueda ser correctamente informado.</w:t>
            </w:r>
          </w:p>
          <w:p w:rsidR="00AB3989" w:rsidRPr="002F78A3" w:rsidRDefault="00AB3989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AB3989" w:rsidRPr="002F78A3" w:rsidRDefault="00AB3989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AB3989" w:rsidRPr="002F78A3" w:rsidRDefault="00AB3989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AB3989" w:rsidRPr="002F78A3" w:rsidRDefault="00AB3989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  <w:p w:rsidR="00AB3989" w:rsidRPr="002F78A3" w:rsidRDefault="00AB3989" w:rsidP="00AB3989">
            <w:pPr>
              <w:pStyle w:val="Default"/>
              <w:spacing w:line="276" w:lineRule="auto"/>
              <w:ind w:left="720"/>
              <w:rPr>
                <w:rFonts w:ascii="Arial" w:hAnsi="Arial" w:cs="Arial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</w:tr>
      <w:tr w:rsidR="006E6701" w:rsidRPr="002F78A3" w:rsidTr="002F78A3">
        <w:tblPrEx>
          <w:tblLook w:val="0000"/>
        </w:tblPrEx>
        <w:trPr>
          <w:cnfStyle w:val="000000100000"/>
          <w:trHeight w:val="120"/>
        </w:trPr>
        <w:tc>
          <w:tcPr>
            <w:cnfStyle w:val="000010000000"/>
            <w:tcW w:w="9039" w:type="dxa"/>
            <w:gridSpan w:val="4"/>
          </w:tcPr>
          <w:p w:rsidR="006E6701" w:rsidRPr="002F78A3" w:rsidRDefault="006E6701" w:rsidP="006E6701">
            <w:pPr>
              <w:pStyle w:val="Default"/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  <w:p w:rsidR="00AB3989" w:rsidRPr="002F78A3" w:rsidRDefault="00AB3989" w:rsidP="00AB3989">
            <w:pPr>
              <w:pStyle w:val="Default"/>
              <w:ind w:left="72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AB3989" w:rsidRPr="002F78A3" w:rsidRDefault="00AB3989" w:rsidP="00AB3989">
            <w:pPr>
              <w:pStyle w:val="Default"/>
              <w:ind w:left="72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6E6701" w:rsidRPr="002F78A3" w:rsidRDefault="00277C53" w:rsidP="00277C5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</w:pPr>
            <w:r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  <w:t xml:space="preserve">MECANISMOS DE </w:t>
            </w:r>
            <w:r w:rsidR="006E6701"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  <w:t>PARTICIPACIÓN CIUDADANA</w:t>
            </w:r>
            <w:r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u w:val="single"/>
              </w:rPr>
              <w:t>:</w:t>
            </w:r>
          </w:p>
          <w:p w:rsidR="006E6701" w:rsidRPr="002F78A3" w:rsidRDefault="006E6701" w:rsidP="006E6701">
            <w:pPr>
              <w:pStyle w:val="Default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6E6701" w:rsidRPr="002F78A3" w:rsidTr="002F78A3">
        <w:tblPrEx>
          <w:tblLook w:val="0000"/>
        </w:tblPrEx>
        <w:trPr>
          <w:trHeight w:val="120"/>
        </w:trPr>
        <w:tc>
          <w:tcPr>
            <w:cnfStyle w:val="000010000000"/>
            <w:tcW w:w="2931" w:type="dxa"/>
          </w:tcPr>
          <w:p w:rsidR="006E6701" w:rsidRPr="002F78A3" w:rsidRDefault="006E6701" w:rsidP="006E6701">
            <w:pPr>
              <w:pStyle w:val="Default"/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Nombre</w:t>
            </w:r>
          </w:p>
          <w:p w:rsidR="00AB3989" w:rsidRPr="002F78A3" w:rsidRDefault="00AB3989" w:rsidP="006E6701">
            <w:pPr>
              <w:pStyle w:val="Default"/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31" w:type="dxa"/>
          </w:tcPr>
          <w:p w:rsidR="006E6701" w:rsidRPr="002F78A3" w:rsidRDefault="006E6701" w:rsidP="006E6701">
            <w:pPr>
              <w:pStyle w:val="Default"/>
              <w:jc w:val="center"/>
              <w:cnfStyle w:val="0000000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Descripción</w:t>
            </w:r>
          </w:p>
        </w:tc>
        <w:tc>
          <w:tcPr>
            <w:cnfStyle w:val="000010000000"/>
            <w:tcW w:w="3177" w:type="dxa"/>
            <w:gridSpan w:val="2"/>
          </w:tcPr>
          <w:p w:rsidR="006E6701" w:rsidRPr="002F78A3" w:rsidRDefault="006E6701" w:rsidP="006E6701">
            <w:pPr>
              <w:pStyle w:val="Default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Formas de acceder</w:t>
            </w:r>
            <w:r w:rsidR="00AB3989" w:rsidRPr="002F78A3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E6701" w:rsidRPr="002F78A3" w:rsidTr="002F78A3">
        <w:tblPrEx>
          <w:tblLook w:val="0000"/>
        </w:tblPrEx>
        <w:trPr>
          <w:cnfStyle w:val="000000100000"/>
          <w:trHeight w:val="626"/>
        </w:trPr>
        <w:tc>
          <w:tcPr>
            <w:cnfStyle w:val="000010000000"/>
            <w:tcW w:w="2931" w:type="dxa"/>
          </w:tcPr>
          <w:p w:rsidR="006E6701" w:rsidRPr="002F78A3" w:rsidRDefault="00F709D6" w:rsidP="00321973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o</w:t>
            </w:r>
            <w:r w:rsidR="006E6701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ficial.información@ipsfa.com</w:t>
            </w:r>
          </w:p>
        </w:tc>
        <w:tc>
          <w:tcPr>
            <w:tcW w:w="2931" w:type="dxa"/>
          </w:tcPr>
          <w:p w:rsidR="006E6701" w:rsidRPr="002F78A3" w:rsidRDefault="006E6701" w:rsidP="00321973">
            <w:pPr>
              <w:pStyle w:val="Default"/>
              <w:cnfStyle w:val="0000001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Atención de solicitudes de información al I</w:t>
            </w:r>
            <w:r w:rsidR="00321973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PSFA</w:t>
            </w: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asesoría sobre el proceso de solicitudes de información a otros entes obligados.</w:t>
            </w:r>
          </w:p>
        </w:tc>
        <w:tc>
          <w:tcPr>
            <w:cnfStyle w:val="000010000000"/>
            <w:tcW w:w="3177" w:type="dxa"/>
            <w:gridSpan w:val="2"/>
          </w:tcPr>
          <w:p w:rsidR="00F709D6" w:rsidRPr="002F78A3" w:rsidRDefault="006E6701" w:rsidP="00F709D6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Desde cualquier ubicación puede enviar un correo electrónico a dicha dirección. </w:t>
            </w:r>
            <w:r w:rsidR="00F709D6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 ingresando al Portal de Transparencia del IPSFA: </w:t>
            </w:r>
            <w:hyperlink r:id="rId7" w:history="1">
              <w:r w:rsidR="00F709D6" w:rsidRPr="002F78A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http://publica.gobiernoabierto.gob.sv/institutions/instituto-de-prevision-social-de-la-fuerza-armada</w:t>
              </w:r>
            </w:hyperlink>
          </w:p>
        </w:tc>
      </w:tr>
      <w:tr w:rsidR="006E6701" w:rsidRPr="002F78A3" w:rsidTr="002F78A3">
        <w:tblPrEx>
          <w:tblLook w:val="0000"/>
        </w:tblPrEx>
        <w:trPr>
          <w:trHeight w:val="794"/>
        </w:trPr>
        <w:tc>
          <w:tcPr>
            <w:cnfStyle w:val="000010000000"/>
            <w:tcW w:w="2931" w:type="dxa"/>
          </w:tcPr>
          <w:p w:rsidR="006E6701" w:rsidRPr="002F78A3" w:rsidRDefault="007C0504" w:rsidP="006E6701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s-ES"/>
              </w:rPr>
            </w:pPr>
            <w:hyperlink r:id="rId8" w:history="1">
              <w:r w:rsidR="006E6701" w:rsidRPr="002F78A3">
                <w:rPr>
                  <w:rStyle w:val="Hipervnculo"/>
                  <w:rFonts w:ascii="Arial" w:hAnsi="Arial" w:cs="Arial"/>
                  <w:color w:val="17365D" w:themeColor="text2" w:themeShade="BF"/>
                  <w:sz w:val="20"/>
                  <w:szCs w:val="20"/>
                  <w:lang w:val="es-ES"/>
                </w:rPr>
                <w:t>comunicaciones@ipsfa.com</w:t>
              </w:r>
            </w:hyperlink>
          </w:p>
        </w:tc>
        <w:tc>
          <w:tcPr>
            <w:tcW w:w="2931" w:type="dxa"/>
          </w:tcPr>
          <w:p w:rsidR="006E6701" w:rsidRPr="002F78A3" w:rsidRDefault="006E6701">
            <w:pPr>
              <w:pStyle w:val="Default"/>
              <w:cnfStyle w:val="0000000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Consulta sobre información de horarios, dirección o directorio institucional del IPSFA</w:t>
            </w:r>
            <w:r w:rsidR="00321973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. </w:t>
            </w:r>
          </w:p>
        </w:tc>
        <w:tc>
          <w:tcPr>
            <w:cnfStyle w:val="000010000000"/>
            <w:tcW w:w="3177" w:type="dxa"/>
            <w:gridSpan w:val="2"/>
          </w:tcPr>
          <w:p w:rsidR="00F709D6" w:rsidRPr="002F78A3" w:rsidRDefault="006E6701" w:rsidP="00F709D6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Desde cualquier ubicación puede enviar un correo electrónico a dicha dir</w:t>
            </w:r>
            <w:r w:rsidR="00321973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ección o </w:t>
            </w:r>
            <w:r w:rsidR="00F709D6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ingresando al sitio Web del ISPFA: </w:t>
            </w:r>
            <w:hyperlink r:id="rId9" w:history="1">
              <w:r w:rsidR="00F709D6" w:rsidRPr="002F78A3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https://www.ipsfa.com/</w:t>
              </w:r>
            </w:hyperlink>
          </w:p>
        </w:tc>
      </w:tr>
      <w:tr w:rsidR="006E6701" w:rsidRPr="002F78A3" w:rsidTr="002F78A3">
        <w:tblPrEx>
          <w:tblLook w:val="0000"/>
        </w:tblPrEx>
        <w:trPr>
          <w:cnfStyle w:val="000000100000"/>
          <w:trHeight w:val="624"/>
        </w:trPr>
        <w:tc>
          <w:tcPr>
            <w:cnfStyle w:val="000010000000"/>
            <w:tcW w:w="2931" w:type="dxa"/>
          </w:tcPr>
          <w:p w:rsidR="006E6701" w:rsidRPr="002F78A3" w:rsidRDefault="00F709D6" w:rsidP="00321973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Encuestas</w:t>
            </w:r>
            <w:r w:rsidR="00F847C5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:rsidR="006E6701" w:rsidRPr="002F78A3" w:rsidRDefault="006E6701" w:rsidP="00F847C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C62A6D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Encuestas de satisfacción del afiliado.</w:t>
            </w:r>
          </w:p>
        </w:tc>
        <w:tc>
          <w:tcPr>
            <w:cnfStyle w:val="000010000000"/>
            <w:tcW w:w="3177" w:type="dxa"/>
            <w:gridSpan w:val="2"/>
          </w:tcPr>
          <w:p w:rsidR="006E6701" w:rsidRPr="002F78A3" w:rsidRDefault="00F709D6" w:rsidP="00F709D6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Visitantes presentes en</w:t>
            </w:r>
            <w:r w:rsidR="00F847C5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el </w:t>
            </w: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F847C5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Departamento de </w:t>
            </w: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atención al Cliente del IPSFA. </w:t>
            </w:r>
          </w:p>
        </w:tc>
      </w:tr>
      <w:tr w:rsidR="006E6701" w:rsidRPr="002F78A3" w:rsidTr="002F78A3">
        <w:tblPrEx>
          <w:tblLook w:val="0000"/>
        </w:tblPrEx>
        <w:trPr>
          <w:trHeight w:val="623"/>
        </w:trPr>
        <w:tc>
          <w:tcPr>
            <w:cnfStyle w:val="000010000000"/>
            <w:tcW w:w="2931" w:type="dxa"/>
          </w:tcPr>
          <w:p w:rsidR="006E6701" w:rsidRPr="002F78A3" w:rsidRDefault="00F709D6" w:rsidP="00F709D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Denuncias o reclamos.</w:t>
            </w:r>
          </w:p>
        </w:tc>
        <w:tc>
          <w:tcPr>
            <w:tcW w:w="2931" w:type="dxa"/>
          </w:tcPr>
          <w:p w:rsidR="006E6701" w:rsidRPr="002F78A3" w:rsidRDefault="00F709D6" w:rsidP="00F709D6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Atención de denuncias o reclamos recibidos por la Comisión de Ética Institucional del IPSFA.</w:t>
            </w:r>
          </w:p>
        </w:tc>
        <w:tc>
          <w:tcPr>
            <w:cnfStyle w:val="000010000000"/>
            <w:tcW w:w="3177" w:type="dxa"/>
            <w:gridSpan w:val="2"/>
          </w:tcPr>
          <w:p w:rsidR="00F847C5" w:rsidRPr="002F78A3" w:rsidRDefault="00F847C5" w:rsidP="00F847C5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 formulario de denuncia a utilizar se encuentra en línea en la siguiente dirección</w:t>
            </w:r>
          </w:p>
          <w:p w:rsidR="006E6701" w:rsidRPr="002F78A3" w:rsidRDefault="007C0504" w:rsidP="00F847C5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10" w:history="1">
              <w:r w:rsidR="00F847C5" w:rsidRPr="002F78A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http://www.teg.gob.sv/denuncias</w:t>
              </w:r>
            </w:hyperlink>
            <w:r w:rsidR="00F847C5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 puede llenarse a mano en el IPSFA.</w:t>
            </w:r>
          </w:p>
        </w:tc>
      </w:tr>
      <w:tr w:rsidR="006E6701" w:rsidRPr="002F78A3" w:rsidTr="002F78A3">
        <w:tblPrEx>
          <w:tblLook w:val="0000"/>
        </w:tblPrEx>
        <w:trPr>
          <w:cnfStyle w:val="000000100000"/>
          <w:trHeight w:val="455"/>
        </w:trPr>
        <w:tc>
          <w:tcPr>
            <w:cnfStyle w:val="000010000000"/>
            <w:tcW w:w="2931" w:type="dxa"/>
          </w:tcPr>
          <w:p w:rsidR="006E6701" w:rsidRPr="002F78A3" w:rsidRDefault="00F709D6" w:rsidP="00F709D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Audiencias y reuniones. </w:t>
            </w:r>
          </w:p>
        </w:tc>
        <w:tc>
          <w:tcPr>
            <w:tcW w:w="2931" w:type="dxa"/>
          </w:tcPr>
          <w:p w:rsidR="00F709D6" w:rsidRPr="002F78A3" w:rsidRDefault="00F709D6" w:rsidP="00F709D6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Audiencias y reuniones de los titulares del IPSFA, con </w:t>
            </w:r>
            <w:r w:rsidR="00AB3989"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p</w:t>
            </w: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ersonas u organizaciones</w:t>
            </w:r>
          </w:p>
          <w:p w:rsidR="006E6701" w:rsidRPr="002F78A3" w:rsidRDefault="00F709D6" w:rsidP="00F709D6">
            <w:pPr>
              <w:pStyle w:val="Default"/>
              <w:cnfStyle w:val="00000010000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gramStart"/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de</w:t>
            </w:r>
            <w:proofErr w:type="gramEnd"/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la sociedad civil.</w:t>
            </w:r>
          </w:p>
        </w:tc>
        <w:tc>
          <w:tcPr>
            <w:cnfStyle w:val="000010000000"/>
            <w:tcW w:w="3177" w:type="dxa"/>
            <w:gridSpan w:val="2"/>
          </w:tcPr>
          <w:p w:rsidR="006E6701" w:rsidRPr="002F78A3" w:rsidRDefault="00F709D6">
            <w:pPr>
              <w:pStyle w:val="Default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F78A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Solicitando con anticipación ante las autoridades del IPSFA. </w:t>
            </w:r>
          </w:p>
        </w:tc>
      </w:tr>
    </w:tbl>
    <w:p w:rsidR="003B66AE" w:rsidRDefault="003B66AE" w:rsidP="00AB3989"/>
    <w:sectPr w:rsidR="003B66AE" w:rsidSect="00C07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AF" w:rsidRDefault="004C0FAF" w:rsidP="00507462">
      <w:r>
        <w:separator/>
      </w:r>
    </w:p>
  </w:endnote>
  <w:endnote w:type="continuationSeparator" w:id="0">
    <w:p w:rsidR="004C0FAF" w:rsidRDefault="004C0FAF" w:rsidP="0050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Default="00AB39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7"/>
    </w:tblGrid>
    <w:tr w:rsidR="00AB3989" w:rsidTr="00AB3989">
      <w:tc>
        <w:tcPr>
          <w:tcW w:w="50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B3989" w:rsidRDefault="007C0504">
          <w:pPr>
            <w:pStyle w:val="Encabezado"/>
            <w:rPr>
              <w:color w:val="FFFFFF" w:themeColor="background1"/>
            </w:rPr>
          </w:pPr>
          <w:fldSimple w:instr=" PAGE   \* MERGEFORMAT ">
            <w:r w:rsidR="002F78A3" w:rsidRPr="002F78A3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507462" w:rsidRDefault="002D0500">
    <w:pPr>
      <w:pStyle w:val="Piedepgina"/>
    </w:pPr>
    <w:r w:rsidRPr="00507462">
      <w:rPr>
        <w:sz w:val="20"/>
        <w:szCs w:val="20"/>
      </w:rPr>
      <w:t>Instituto de Previsión Social de la Fuerza Armada-IPSFA-UAIP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Default="00AB39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AF" w:rsidRDefault="004C0FAF" w:rsidP="00507462">
      <w:r>
        <w:separator/>
      </w:r>
    </w:p>
  </w:footnote>
  <w:footnote w:type="continuationSeparator" w:id="0">
    <w:p w:rsidR="004C0FAF" w:rsidRDefault="004C0FAF" w:rsidP="0050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Default="00AB39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62" w:rsidRPr="00507462" w:rsidRDefault="00507462" w:rsidP="00507462">
    <w:pPr>
      <w:pStyle w:val="Encabezado"/>
      <w:jc w:val="right"/>
      <w:rPr>
        <w:sz w:val="20"/>
        <w:szCs w:val="20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-265430</wp:posOffset>
          </wp:positionV>
          <wp:extent cx="668655" cy="668655"/>
          <wp:effectExtent l="19050" t="0" r="0" b="0"/>
          <wp:wrapThrough wrapText="bothSides">
            <wp:wrapPolygon edited="0">
              <wp:start x="-615" y="0"/>
              <wp:lineTo x="-615" y="20923"/>
              <wp:lineTo x="21538" y="20923"/>
              <wp:lineTo x="21538" y="0"/>
              <wp:lineTo x="-615" y="0"/>
            </wp:wrapPolygon>
          </wp:wrapThrough>
          <wp:docPr id="56" name="irc_mi" descr="Resultado de imagen para logo ipsf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logo ipsf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7462">
      <w:rPr>
        <w:sz w:val="20"/>
        <w:szCs w:val="20"/>
      </w:rPr>
      <w:t xml:space="preserve"> Instituto de Previsión Social de la Fuerza Armada-IPSFA-UAIP.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Default="00AB39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41C"/>
    <w:multiLevelType w:val="hybridMultilevel"/>
    <w:tmpl w:val="3AA066C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3D7A"/>
    <w:multiLevelType w:val="hybridMultilevel"/>
    <w:tmpl w:val="D846784A"/>
    <w:lvl w:ilvl="0" w:tplc="1DF0D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2B1"/>
    <w:multiLevelType w:val="hybridMultilevel"/>
    <w:tmpl w:val="598810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66AE"/>
    <w:rsid w:val="00277C53"/>
    <w:rsid w:val="002D0500"/>
    <w:rsid w:val="002F78A3"/>
    <w:rsid w:val="00321973"/>
    <w:rsid w:val="003B66AE"/>
    <w:rsid w:val="004C0FAF"/>
    <w:rsid w:val="00507462"/>
    <w:rsid w:val="006E6701"/>
    <w:rsid w:val="007C0504"/>
    <w:rsid w:val="008216F5"/>
    <w:rsid w:val="00AB3989"/>
    <w:rsid w:val="00C07C68"/>
    <w:rsid w:val="00C62A6D"/>
    <w:rsid w:val="00F709D6"/>
    <w:rsid w:val="00F8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1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6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vistoso-nfasis1">
    <w:name w:val="Colorful Shading Accent 1"/>
    <w:basedOn w:val="Tablanormal"/>
    <w:uiPriority w:val="71"/>
    <w:rsid w:val="003B6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3B6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6E6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E67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462"/>
    <w:rPr>
      <w:rFonts w:ascii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507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62"/>
    <w:rPr>
      <w:rFonts w:ascii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462"/>
    <w:rPr>
      <w:rFonts w:ascii="Tahoma" w:hAnsi="Tahoma" w:cs="Tahoma"/>
      <w:sz w:val="16"/>
      <w:szCs w:val="16"/>
      <w:lang w:eastAsia="es-SV"/>
    </w:rPr>
  </w:style>
  <w:style w:type="table" w:styleId="Listavistosa-nfasis6">
    <w:name w:val="Colorful List Accent 6"/>
    <w:basedOn w:val="Tablanormal"/>
    <w:uiPriority w:val="72"/>
    <w:rsid w:val="002F78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media2-nfasis6">
    <w:name w:val="Medium List 2 Accent 6"/>
    <w:basedOn w:val="Tablanormal"/>
    <w:uiPriority w:val="66"/>
    <w:rsid w:val="002F78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2F78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6">
    <w:name w:val="Light List Accent 6"/>
    <w:basedOn w:val="Tablanormal"/>
    <w:uiPriority w:val="61"/>
    <w:rsid w:val="002F7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69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963">
                          <w:marLeft w:val="1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6707">
                              <w:marLeft w:val="0"/>
                              <w:marRight w:val="0"/>
                              <w:marTop w:val="602"/>
                              <w:marBottom w:val="6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6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822771191">
                              <w:marLeft w:val="43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1940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08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38">
                          <w:marLeft w:val="0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5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805">
                                  <w:marLeft w:val="43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491">
          <w:marLeft w:val="-11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336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017">
          <w:marLeft w:val="0"/>
          <w:marRight w:val="0"/>
          <w:marTop w:val="0"/>
          <w:marBottom w:val="0"/>
          <w:divBdr>
            <w:top w:val="single" w:sz="4" w:space="0" w:color="919191"/>
            <w:left w:val="single" w:sz="4" w:space="0" w:color="919191"/>
            <w:bottom w:val="single" w:sz="4" w:space="0" w:color="919191"/>
            <w:right w:val="single" w:sz="4" w:space="0" w:color="919191"/>
          </w:divBdr>
          <w:divsChild>
            <w:div w:id="1899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ipsf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.gobiernoabierto.gob.sv/institutions/instituto-de-prevision-social-de-la-fuerza-armad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g.gob.sv/denunc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sfa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ipsfa.com/index.php?option=com_phocadownload&amp;view=category&amp;id=3:afiliados&amp;Itemid=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5</cp:revision>
  <dcterms:created xsi:type="dcterms:W3CDTF">2017-07-14T15:51:00Z</dcterms:created>
  <dcterms:modified xsi:type="dcterms:W3CDTF">2019-10-23T20:57:00Z</dcterms:modified>
</cp:coreProperties>
</file>