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4" w:rsidRDefault="00366DD4" w:rsidP="005A5B5B">
      <w:pPr>
        <w:spacing w:after="0" w:line="240" w:lineRule="auto"/>
        <w:jc w:val="both"/>
        <w:rPr>
          <w:sz w:val="24"/>
          <w:szCs w:val="24"/>
        </w:rPr>
      </w:pPr>
    </w:p>
    <w:p w:rsidR="005A5B5B" w:rsidRPr="001A058F" w:rsidRDefault="005A5B5B" w:rsidP="005A5B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 </w:t>
      </w:r>
      <w:r w:rsidRPr="00C11A62">
        <w:rPr>
          <w:b/>
          <w:sz w:val="24"/>
          <w:szCs w:val="24"/>
        </w:rPr>
        <w:t>Las organizaciones no gubernamentales (ONG's)</w:t>
      </w:r>
      <w:r w:rsidRPr="001A058F">
        <w:rPr>
          <w:sz w:val="24"/>
          <w:szCs w:val="24"/>
        </w:rPr>
        <w:t xml:space="preserve"> que trabajan en el municipio en cuanto a protección de los derechos de la niñez y adolescencia están:</w:t>
      </w:r>
    </w:p>
    <w:p w:rsidR="005A5B5B" w:rsidRPr="001A058F" w:rsidRDefault="005A5B5B" w:rsidP="005A5B5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A5B5B" w:rsidRDefault="005A5B5B" w:rsidP="005A5B5B">
      <w:pPr>
        <w:spacing w:after="0" w:line="240" w:lineRule="auto"/>
        <w:jc w:val="both"/>
        <w:rPr>
          <w:sz w:val="24"/>
          <w:szCs w:val="24"/>
        </w:rPr>
      </w:pPr>
      <w:r w:rsidRPr="001A058F">
        <w:rPr>
          <w:sz w:val="24"/>
          <w:szCs w:val="24"/>
        </w:rPr>
        <w:t>-SAVE THE CHILDREN</w:t>
      </w:r>
    </w:p>
    <w:p w:rsidR="005A5B5B" w:rsidRPr="001A058F" w:rsidRDefault="005A5B5B" w:rsidP="005A5B5B">
      <w:pPr>
        <w:spacing w:after="0" w:line="240" w:lineRule="auto"/>
        <w:jc w:val="both"/>
        <w:rPr>
          <w:sz w:val="24"/>
          <w:szCs w:val="24"/>
        </w:rPr>
      </w:pPr>
    </w:p>
    <w:p w:rsidR="005A5B5B" w:rsidRDefault="005A5B5B" w:rsidP="005A5B5B">
      <w:pPr>
        <w:spacing w:after="0" w:line="240" w:lineRule="auto"/>
        <w:jc w:val="both"/>
        <w:rPr>
          <w:sz w:val="24"/>
          <w:szCs w:val="24"/>
        </w:rPr>
      </w:pPr>
      <w:r w:rsidRPr="001A058F">
        <w:rPr>
          <w:sz w:val="24"/>
          <w:szCs w:val="24"/>
        </w:rPr>
        <w:t>-CORDES/AYUDA EN ACCIÓN</w:t>
      </w:r>
    </w:p>
    <w:p w:rsidR="005A5B5B" w:rsidRPr="001A058F" w:rsidRDefault="005A5B5B" w:rsidP="005A5B5B">
      <w:pPr>
        <w:spacing w:after="0" w:line="240" w:lineRule="auto"/>
        <w:jc w:val="both"/>
        <w:rPr>
          <w:sz w:val="24"/>
          <w:szCs w:val="24"/>
        </w:rPr>
      </w:pPr>
    </w:p>
    <w:p w:rsidR="005A5B5B" w:rsidRPr="00870DF6" w:rsidRDefault="005A5B5B" w:rsidP="005A5B5B">
      <w:pPr>
        <w:spacing w:after="0" w:line="240" w:lineRule="auto"/>
        <w:jc w:val="both"/>
        <w:rPr>
          <w:sz w:val="24"/>
          <w:szCs w:val="24"/>
          <w:lang w:val="es-SV"/>
        </w:rPr>
      </w:pPr>
      <w:r w:rsidRPr="00870DF6">
        <w:rPr>
          <w:sz w:val="24"/>
          <w:szCs w:val="24"/>
          <w:lang w:val="es-SV"/>
        </w:rPr>
        <w:t>-CONVOY OF HOPE</w:t>
      </w:r>
    </w:p>
    <w:p w:rsidR="005A5B5B" w:rsidRPr="00870DF6" w:rsidRDefault="005A5B5B" w:rsidP="005A5B5B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1E2E8A" w:rsidRPr="00F03E50" w:rsidRDefault="00366DD4">
      <w:pPr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726440</wp:posOffset>
            </wp:positionH>
            <wp:positionV relativeFrom="margin">
              <wp:posOffset>2073275</wp:posOffset>
            </wp:positionV>
            <wp:extent cx="4480560" cy="5332095"/>
            <wp:effectExtent l="1905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ción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29" r="11191"/>
                    <a:stretch/>
                  </pic:blipFill>
                  <pic:spPr bwMode="auto">
                    <a:xfrm>
                      <a:off x="0" y="0"/>
                      <a:ext cx="4480560" cy="533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C5781F" w:rsidRDefault="00C5781F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Default="00366DD4" w:rsidP="00C5781F">
      <w:pPr>
        <w:jc w:val="both"/>
        <w:rPr>
          <w:b/>
        </w:rPr>
      </w:pPr>
    </w:p>
    <w:p w:rsidR="00366DD4" w:rsidRPr="00C11A62" w:rsidRDefault="00366DD4" w:rsidP="00C5781F">
      <w:pPr>
        <w:jc w:val="both"/>
        <w:rPr>
          <w:b/>
        </w:rPr>
      </w:pPr>
    </w:p>
    <w:p w:rsidR="00C5781F" w:rsidRPr="00172232" w:rsidRDefault="00C5781F" w:rsidP="00C5781F">
      <w:pPr>
        <w:spacing w:after="0"/>
        <w:jc w:val="both"/>
        <w:rPr>
          <w:color w:val="000000" w:themeColor="text1"/>
        </w:rPr>
      </w:pPr>
      <w:r w:rsidRPr="00172232">
        <w:rPr>
          <w:color w:val="000000" w:themeColor="text1"/>
        </w:rPr>
        <w:t xml:space="preserve">Ahora bien que son </w:t>
      </w:r>
      <w:r w:rsidRPr="00172232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u w:val="single"/>
          <w:lang w:val="es-SV"/>
        </w:rPr>
        <w:t xml:space="preserve">LOS COMITÉS LOCALES DE DERECHOS </w:t>
      </w:r>
    </w:p>
    <w:p w:rsidR="00C5781F" w:rsidRPr="00172232" w:rsidRDefault="00C5781F" w:rsidP="00C5781F">
      <w:pPr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9F9F9"/>
          <w:lang w:val="es-SV"/>
        </w:rPr>
        <w:t>Es un órgano administrativo municipal que tiene entre sus funciones principales  la de velar por la garantía de los derechos colectivos y difusos de toda la niñez del municipio. (Según Art. 153 de la LEPINA).</w:t>
      </w:r>
    </w:p>
    <w:p w:rsidR="00C5781F" w:rsidRPr="00172232" w:rsidRDefault="00C5781F" w:rsidP="00C5781F">
      <w:pPr>
        <w:spacing w:line="360" w:lineRule="auto"/>
        <w:jc w:val="both"/>
      </w:pPr>
      <w:r w:rsidRPr="00172232">
        <w:t xml:space="preserve">Se pretende cumplir con las siguientes </w:t>
      </w:r>
      <w:r w:rsidRPr="00172232">
        <w:rPr>
          <w:rFonts w:asciiTheme="minorHAnsi" w:eastAsiaTheme="minorHAnsi" w:hAnsiTheme="minorHAnsi" w:cs="Arial"/>
          <w:bCs/>
          <w:color w:val="000000"/>
          <w:sz w:val="24"/>
          <w:szCs w:val="24"/>
          <w:lang w:val="es-SV"/>
        </w:rPr>
        <w:t>Funciones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val="es-SV"/>
        </w:rPr>
        <w:t>.</w:t>
      </w:r>
    </w:p>
    <w:p w:rsidR="00C5781F" w:rsidRPr="00172232" w:rsidRDefault="00C5781F" w:rsidP="00C5781F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  <w:t>Difundir y promover el conocimiento de los derechos y deberes de las niñas, niños y adolescentes.</w:t>
      </w:r>
    </w:p>
    <w:p w:rsidR="00C5781F" w:rsidRPr="00172232" w:rsidRDefault="00C5781F" w:rsidP="00C5781F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  <w:t>Vigilar la calidad de los servicios públicos que se presenten a las niñas, niños y adolescentes.</w:t>
      </w:r>
    </w:p>
    <w:p w:rsidR="00C5781F" w:rsidRPr="00172232" w:rsidRDefault="00C5781F" w:rsidP="00C5781F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  <w:t>Proponer políticas locales en materia de niñez y adolescencia al Gobierno Municipal.</w:t>
      </w:r>
    </w:p>
    <w:p w:rsidR="00C5781F" w:rsidRPr="00172232" w:rsidRDefault="00C5781F" w:rsidP="00C5781F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  <w:t>Proponer al Gobierno Local las reformas al ordenamiento municipal o la adopción de las acciones administrativas que fueran necesarias para garantizar el pleno goce de los derechos de la niñez y de la adolescencia.</w:t>
      </w:r>
    </w:p>
    <w:p w:rsidR="00C5781F" w:rsidRDefault="00C5781F" w:rsidP="00C5781F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  <w:r w:rsidRPr="00172232"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  <w:t>Promover la acción de protección en el caso de amenazas o violaciones contra los derechos colectivos  y difusos de las niñas.</w:t>
      </w:r>
    </w:p>
    <w:p w:rsidR="00C5781F" w:rsidRPr="002E7EA7" w:rsidRDefault="00C5781F" w:rsidP="00C5781F">
      <w:pPr>
        <w:spacing w:line="360" w:lineRule="auto"/>
        <w:ind w:left="360"/>
        <w:contextualSpacing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val="es-SV"/>
        </w:rPr>
      </w:pPr>
    </w:p>
    <w:p w:rsidR="00C5781F" w:rsidRPr="009043A5" w:rsidRDefault="00C5781F" w:rsidP="00C5781F">
      <w:pPr>
        <w:spacing w:line="360" w:lineRule="auto"/>
        <w:jc w:val="both"/>
        <w:rPr>
          <w:rFonts w:cstheme="minorHAnsi"/>
          <w:sz w:val="24"/>
        </w:rPr>
      </w:pPr>
      <w:r w:rsidRPr="009043A5">
        <w:rPr>
          <w:sz w:val="24"/>
          <w:szCs w:val="24"/>
        </w:rPr>
        <w:t xml:space="preserve"> Es por ello que el Comité de Derechos es un actor clave  dentro del municipio ahora bien que son los </w:t>
      </w:r>
      <w:r w:rsidRPr="009043A5">
        <w:rPr>
          <w:rFonts w:cstheme="minorHAnsi"/>
          <w:b/>
          <w:sz w:val="24"/>
        </w:rPr>
        <w:t>Actores clave:</w:t>
      </w:r>
      <w:r w:rsidRPr="009043A5">
        <w:rPr>
          <w:rFonts w:cstheme="minorHAnsi"/>
          <w:sz w:val="24"/>
        </w:rPr>
        <w:t xml:space="preserve"> Son los que pueden influir significativamente en un proyecto o programa debido a sus capacidades técnicas, recursos financieros o posición de poder.</w:t>
      </w:r>
    </w:p>
    <w:p w:rsidR="00C5781F" w:rsidRDefault="00C5781F" w:rsidP="00C5781F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Se presenta una matriz </w:t>
      </w:r>
      <w:r w:rsidRPr="0068064A">
        <w:rPr>
          <w:rFonts w:cstheme="minorHAnsi"/>
          <w:sz w:val="24"/>
        </w:rPr>
        <w:t xml:space="preserve">de actores </w:t>
      </w:r>
      <w:r>
        <w:rPr>
          <w:rFonts w:cstheme="minorHAnsi"/>
          <w:sz w:val="24"/>
        </w:rPr>
        <w:t xml:space="preserve"> claves </w:t>
      </w:r>
      <w:r w:rsidRPr="0068064A">
        <w:rPr>
          <w:rFonts w:cstheme="minorHAnsi"/>
          <w:sz w:val="24"/>
        </w:rPr>
        <w:t>presenta una visión gráfica del conjunto de actores involucrados en el campo de la velar a la protección de la niñez y adolescencia   en el Muni</w:t>
      </w:r>
      <w:r>
        <w:rPr>
          <w:rFonts w:cstheme="minorHAnsi"/>
          <w:sz w:val="24"/>
        </w:rPr>
        <w:t>cipio de San Luis La Herradura.</w:t>
      </w:r>
    </w:p>
    <w:p w:rsidR="00C5781F" w:rsidRPr="00C11A62" w:rsidRDefault="00C5781F" w:rsidP="00C5781F">
      <w:pPr>
        <w:spacing w:line="360" w:lineRule="auto"/>
        <w:jc w:val="both"/>
        <w:rPr>
          <w:rFonts w:cstheme="minorHAnsi"/>
          <w:sz w:val="24"/>
        </w:rPr>
      </w:pPr>
    </w:p>
    <w:tbl>
      <w:tblPr>
        <w:tblpPr w:leftFromText="141" w:rightFromText="141" w:vertAnchor="text" w:horzAnchor="margin" w:tblpXSpec="center" w:tblpY="289"/>
        <w:tblW w:w="10314" w:type="dxa"/>
        <w:tblLayout w:type="fixed"/>
        <w:tblLook w:val="0000"/>
      </w:tblPr>
      <w:tblGrid>
        <w:gridCol w:w="2802"/>
        <w:gridCol w:w="992"/>
        <w:gridCol w:w="1843"/>
        <w:gridCol w:w="2835"/>
        <w:gridCol w:w="1842"/>
      </w:tblGrid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34242D" w:rsidRDefault="00C5781F" w:rsidP="006028C7">
            <w:pPr>
              <w:suppressAutoHyphens/>
              <w:spacing w:after="120" w:line="264" w:lineRule="auto"/>
              <w:rPr>
                <w:rFonts w:eastAsia="Times New Roman"/>
                <w:sz w:val="20"/>
                <w:szCs w:val="20"/>
                <w:lang w:val="es-SV" w:eastAsia="zh-CN"/>
              </w:rPr>
            </w:pPr>
            <w:r w:rsidRPr="0034242D">
              <w:rPr>
                <w:rFonts w:cs="Arial"/>
                <w:b/>
                <w:sz w:val="24"/>
                <w:szCs w:val="24"/>
                <w:lang w:val="es-SV" w:eastAsia="zh-CN"/>
              </w:rPr>
              <w:lastRenderedPageBreak/>
              <w:t>NOMBRE DEL AUTOR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34242D" w:rsidRDefault="00C5781F" w:rsidP="006028C7">
            <w:pPr>
              <w:suppressAutoHyphens/>
              <w:spacing w:after="120" w:line="264" w:lineRule="auto"/>
              <w:jc w:val="center"/>
              <w:rPr>
                <w:rFonts w:eastAsia="Times New Roman"/>
                <w:sz w:val="20"/>
                <w:szCs w:val="20"/>
                <w:lang w:val="es-SV" w:eastAsia="zh-CN"/>
              </w:rPr>
            </w:pPr>
            <w:r w:rsidRPr="0034242D">
              <w:rPr>
                <w:rFonts w:cs="Arial"/>
                <w:b/>
                <w:sz w:val="24"/>
                <w:szCs w:val="24"/>
                <w:lang w:val="es-SV" w:eastAsia="zh-CN"/>
              </w:rPr>
              <w:t>SECTOR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34242D" w:rsidRDefault="00C5781F" w:rsidP="006028C7">
            <w:pPr>
              <w:suppressAutoHyphens/>
              <w:spacing w:after="120" w:line="264" w:lineRule="auto"/>
              <w:rPr>
                <w:rFonts w:eastAsia="Times New Roman"/>
                <w:sz w:val="20"/>
                <w:szCs w:val="20"/>
                <w:lang w:val="es-SV" w:eastAsia="zh-CN"/>
              </w:rPr>
            </w:pPr>
            <w:r w:rsidRPr="0034242D">
              <w:rPr>
                <w:rFonts w:cs="Arial"/>
                <w:b/>
                <w:sz w:val="24"/>
                <w:szCs w:val="24"/>
                <w:lang w:val="es-SV" w:eastAsia="zh-CN"/>
              </w:rPr>
              <w:t>CLASIFICACIÓN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34242D" w:rsidRDefault="00C5781F" w:rsidP="006028C7">
            <w:pPr>
              <w:suppressAutoHyphens/>
              <w:spacing w:after="120" w:line="264" w:lineRule="auto"/>
              <w:rPr>
                <w:rFonts w:eastAsia="Times New Roman"/>
                <w:sz w:val="20"/>
                <w:szCs w:val="20"/>
                <w:lang w:val="es-SV" w:eastAsia="zh-CN"/>
              </w:rPr>
            </w:pPr>
            <w:r w:rsidRPr="0034242D">
              <w:rPr>
                <w:rFonts w:cs="Arial"/>
                <w:b/>
                <w:sz w:val="24"/>
                <w:szCs w:val="24"/>
                <w:lang w:val="es-SV" w:eastAsia="zh-CN"/>
              </w:rPr>
              <w:t>FUNCIONES PRINCIPALES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34242D" w:rsidRDefault="00C5781F" w:rsidP="006028C7">
            <w:pPr>
              <w:suppressAutoHyphens/>
              <w:spacing w:after="120" w:line="264" w:lineRule="auto"/>
              <w:jc w:val="center"/>
              <w:rPr>
                <w:rFonts w:eastAsia="Times New Roman"/>
                <w:sz w:val="20"/>
                <w:szCs w:val="20"/>
                <w:lang w:val="es-SV" w:eastAsia="zh-CN"/>
              </w:rPr>
            </w:pPr>
            <w:r w:rsidRPr="0034242D">
              <w:rPr>
                <w:rFonts w:cs="Arial"/>
                <w:b/>
                <w:sz w:val="24"/>
                <w:szCs w:val="24"/>
                <w:lang w:val="es-SV" w:eastAsia="zh-CN"/>
              </w:rPr>
              <w:t>AREA COBERTURA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Alcaldía Municipal De San Luis La Herradura</w:t>
            </w:r>
            <w:r>
              <w:rPr>
                <w:rFonts w:asciiTheme="minorHAnsi" w:hAnsiTheme="minorHAnsi" w:cs="Arial"/>
                <w:sz w:val="28"/>
                <w:lang w:val="es-SV" w:eastAsia="zh-CN"/>
              </w:rPr>
              <w:t>,</w:t>
            </w: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eastAsia="Times New Roman" w:hAnsiTheme="minorHAnsi"/>
                <w:sz w:val="28"/>
                <w:lang w:val="es-SV" w:eastAsia="zh-CN"/>
              </w:rPr>
            </w:pPr>
            <w:r>
              <w:rPr>
                <w:rFonts w:asciiTheme="minorHAnsi" w:hAnsiTheme="minorHAnsi" w:cs="Arial"/>
                <w:sz w:val="28"/>
                <w:lang w:val="es-SV" w:eastAsia="zh-CN"/>
              </w:rPr>
              <w:t>Unidad De La Mujer Niñez Y Adolescencia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napToGrid w:val="0"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napToGrid w:val="0"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921482">
              <w:rPr>
                <w:rFonts w:asciiTheme="minorHAnsi" w:eastAsia="Times New Roman" w:hAnsiTheme="minorHAnsi"/>
                <w:lang w:val="es-SV" w:eastAsia="zh-CN"/>
              </w:rPr>
              <w:t xml:space="preserve">Enlace Municipal y  Principal coordinador con las diferentes instituciones competentes en la Protección de niñez y adolescencia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CONNA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jc w:val="both"/>
              <w:rPr>
                <w:rFonts w:asciiTheme="minorHAnsi" w:hAnsiTheme="minorHAnsi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napToGrid w:val="0"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hd w:val="clear" w:color="auto" w:fill="FFFFFF"/>
              </w:rPr>
              <w:t>Busca fortalecer los sistemas locales de protección de la niñez y adolescencia para propiciar respuestas coordinadas de las instituciones que trabajan por el bienestar de la familia.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ISNA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jc w:val="both"/>
              <w:rPr>
                <w:rFonts w:asciiTheme="minorHAnsi" w:hAnsiTheme="minorHAnsi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napToGrid w:val="0"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808AA" w:rsidRDefault="00C5781F" w:rsidP="006028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Elaborar planes y programas de carácter preventivo para la protección de las niñas, niños y adolescentes en su medio familiar y los de atención prestada en los centros estatales, municipales y organismos no gubernamentales.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eastAsia="Times New Roman" w:hAnsiTheme="minorHAnsi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MINSAL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lang w:val="es-SV" w:eastAsia="zh-CN"/>
              </w:rPr>
              <w:t>Garantiza el ejercicio pleno del derecho humano a la salud</w:t>
            </w:r>
            <w:r>
              <w:rPr>
                <w:rFonts w:asciiTheme="minorHAnsi" w:hAnsiTheme="minorHAnsi" w:cs="Arial"/>
                <w:lang w:val="es-SV"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MINED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pStyle w:val="Pa12"/>
              <w:spacing w:after="200"/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 w:rsidRPr="00921482">
              <w:rPr>
                <w:rFonts w:asciiTheme="minorHAnsi" w:hAnsiTheme="minorHAnsi" w:cs="GillSans"/>
                <w:sz w:val="22"/>
                <w:szCs w:val="22"/>
              </w:rPr>
              <w:t xml:space="preserve">Garantizar la incorporación de la Política de Educación Inclusiva en todo el ámbito educativo. Así como, cualquier mecanismo de protección contra la discriminación y evitar el riesgo de exclusión.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suppressAutoHyphens/>
              <w:spacing w:after="120" w:line="264" w:lineRule="auto"/>
              <w:rPr>
                <w:rFonts w:asciiTheme="minorHAnsi" w:eastAsia="Times New Roman" w:hAnsiTheme="minorHAnsi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lastRenderedPageBreak/>
              <w:t>Juzgado de Paz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EB7DA3" w:rsidRDefault="00C5781F" w:rsidP="006028C7">
            <w:pPr>
              <w:pStyle w:val="Pa12"/>
              <w:spacing w:after="200"/>
              <w:jc w:val="both"/>
              <w:rPr>
                <w:rFonts w:asciiTheme="minorHAnsi" w:hAnsiTheme="minorHAnsi" w:cs="GillSans"/>
                <w:color w:val="000000"/>
                <w:sz w:val="22"/>
                <w:szCs w:val="22"/>
              </w:rPr>
            </w:pPr>
            <w:r w:rsidRPr="00EB7DA3">
              <w:rPr>
                <w:rStyle w:val="A5"/>
                <w:rFonts w:asciiTheme="minorHAnsi" w:hAnsiTheme="minorHAnsi"/>
                <w:sz w:val="22"/>
                <w:szCs w:val="22"/>
              </w:rPr>
              <w:t>Conocen de las faltas o delitos, específicamente ven los casos de violencia in</w:t>
            </w:r>
            <w:r w:rsidRPr="00EB7DA3">
              <w:rPr>
                <w:rStyle w:val="A5"/>
                <w:rFonts w:asciiTheme="minorHAnsi" w:hAnsiTheme="minorHAnsi"/>
                <w:sz w:val="22"/>
                <w:szCs w:val="22"/>
              </w:rPr>
              <w:softHyphen/>
              <w:t>trafamiliar, maltrato infantil y delitos contra la libertad sexual.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eastAsia="Times New Roman" w:hAnsiTheme="minorHAnsi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PNC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EB7DA3" w:rsidRDefault="00C5781F" w:rsidP="006028C7">
            <w:pPr>
              <w:pStyle w:val="Pa12"/>
              <w:spacing w:after="200"/>
              <w:jc w:val="both"/>
              <w:rPr>
                <w:rFonts w:asciiTheme="minorHAnsi" w:hAnsiTheme="minorHAnsi" w:cs="GillSans"/>
                <w:color w:val="000000"/>
                <w:sz w:val="22"/>
                <w:szCs w:val="22"/>
              </w:rPr>
            </w:pPr>
            <w:r w:rsidRPr="00EB7DA3">
              <w:rPr>
                <w:rStyle w:val="A5"/>
                <w:rFonts w:asciiTheme="minorHAnsi" w:hAnsiTheme="minorHAnsi"/>
                <w:sz w:val="22"/>
                <w:szCs w:val="22"/>
              </w:rPr>
              <w:t xml:space="preserve">Brinda protección a la población e investiga los delitos a petición de la FGR. Se puede avisar al 911 o presentar la denuncia ante cualquier delegación de la PNC y posteriormente éste remite el caso a la FGR.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eastAsia="Times New Roman" w:hAnsiTheme="minorHAnsi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</w:p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 w:cs="Arial"/>
                <w:sz w:val="28"/>
                <w:lang w:val="es-SV" w:eastAsia="zh-CN"/>
              </w:rPr>
              <w:t>Fiscalía General De La República.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pStyle w:val="Pa12"/>
              <w:spacing w:after="200"/>
              <w:jc w:val="both"/>
              <w:rPr>
                <w:rStyle w:val="A5"/>
                <w:rFonts w:asciiTheme="minorHAnsi" w:hAnsiTheme="minorHAnsi"/>
                <w:sz w:val="22"/>
                <w:szCs w:val="22"/>
              </w:rPr>
            </w:pPr>
            <w:r w:rsidRPr="00C625B8">
              <w:rPr>
                <w:rStyle w:val="A5"/>
                <w:rFonts w:asciiTheme="minorHAnsi" w:hAnsiTheme="minorHAnsi"/>
                <w:sz w:val="22"/>
                <w:szCs w:val="22"/>
              </w:rPr>
              <w:t>Está a cargo de la dirección funcional de la investigación de los delitos, iniciando el proceso, ordenando que se practiquen las diligencias de investigación, reco</w:t>
            </w:r>
            <w:r w:rsidRPr="00C625B8">
              <w:rPr>
                <w:rStyle w:val="A5"/>
                <w:rFonts w:asciiTheme="minorHAnsi" w:hAnsiTheme="minorHAnsi"/>
                <w:sz w:val="22"/>
                <w:szCs w:val="22"/>
              </w:rPr>
              <w:softHyphen/>
              <w:t>lectando pruebas, y especialmente individualizando al imputado. Posteriormen</w:t>
            </w:r>
            <w:r w:rsidRPr="00C625B8">
              <w:rPr>
                <w:rStyle w:val="A5"/>
                <w:rFonts w:asciiTheme="minorHAnsi" w:hAnsiTheme="minorHAnsi"/>
                <w:sz w:val="22"/>
                <w:szCs w:val="22"/>
              </w:rPr>
              <w:softHyphen/>
              <w:t xml:space="preserve">te, remite el caso a los tribunales.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  <w:tr w:rsidR="00C5781F" w:rsidRPr="0034242D" w:rsidTr="00602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921482" w:rsidRDefault="00C5781F" w:rsidP="006028C7">
            <w:pPr>
              <w:suppressAutoHyphens/>
              <w:spacing w:after="120" w:line="264" w:lineRule="auto"/>
              <w:jc w:val="center"/>
              <w:rPr>
                <w:rFonts w:asciiTheme="minorHAnsi" w:hAnsiTheme="minorHAnsi" w:cs="Arial"/>
                <w:sz w:val="28"/>
                <w:lang w:val="es-SV" w:eastAsia="zh-CN"/>
              </w:rPr>
            </w:pPr>
            <w:r w:rsidRPr="00921482">
              <w:rPr>
                <w:rFonts w:asciiTheme="minorHAnsi" w:hAnsiTheme="minorHAnsi"/>
                <w:sz w:val="28"/>
              </w:rPr>
              <w:t>La Procuraduría General de la República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jc w:val="both"/>
              <w:rPr>
                <w:rFonts w:asciiTheme="minorHAnsi" w:hAnsiTheme="minorHAnsi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Publico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jc w:val="both"/>
              <w:rPr>
                <w:rFonts w:asciiTheme="minorHAnsi" w:hAnsiTheme="minorHAnsi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Claves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81F" w:rsidRPr="00E65190" w:rsidRDefault="00C5781F" w:rsidP="006028C7">
            <w:pPr>
              <w:suppressAutoHyphens/>
              <w:spacing w:after="120" w:line="264" w:lineRule="auto"/>
              <w:jc w:val="both"/>
              <w:rPr>
                <w:rFonts w:asciiTheme="minorHAnsi" w:hAnsiTheme="minorHAnsi" w:cs="Arial"/>
                <w:lang w:val="es-SV" w:eastAsia="zh-CN"/>
              </w:rPr>
            </w:pPr>
            <w:r w:rsidRPr="00E65190">
              <w:rPr>
                <w:rFonts w:asciiTheme="minorHAnsi" w:hAnsiTheme="minorHAnsi" w:cs="Segoe UI"/>
                <w:color w:val="1F2126"/>
              </w:rPr>
              <w:t>Velar por el cumplimiento y la eficaz aplicación de la Ley, el acceso a la justicia en igualdad de condiciones para todos los ciudadanos y la protección y defensa de los derechos de las personas adultas, menores.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81F" w:rsidRPr="00C625B8" w:rsidRDefault="00C5781F" w:rsidP="006028C7">
            <w:pPr>
              <w:jc w:val="both"/>
              <w:rPr>
                <w:rFonts w:asciiTheme="minorHAnsi" w:hAnsiTheme="minorHAnsi"/>
              </w:rPr>
            </w:pPr>
            <w:r w:rsidRPr="00C625B8">
              <w:rPr>
                <w:rFonts w:asciiTheme="minorHAnsi" w:hAnsiTheme="minorHAnsi" w:cs="Arial"/>
                <w:lang w:val="es-SV" w:eastAsia="zh-CN"/>
              </w:rPr>
              <w:t>Área Territorial</w:t>
            </w:r>
          </w:p>
        </w:tc>
      </w:tr>
    </w:tbl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1E2E8A" w:rsidRPr="00F03E50" w:rsidRDefault="001E2E8A">
      <w:pPr>
        <w:rPr>
          <w:lang w:val="es-SV"/>
        </w:rPr>
      </w:pPr>
    </w:p>
    <w:p w:rsidR="001E2E8A" w:rsidRPr="00A81D9E" w:rsidRDefault="00A81D9E">
      <w:pPr>
        <w:rPr>
          <w:sz w:val="24"/>
          <w:szCs w:val="24"/>
          <w:lang w:val="es-SV"/>
        </w:rPr>
      </w:pPr>
      <w:r w:rsidRPr="00A81D9E">
        <w:rPr>
          <w:sz w:val="24"/>
          <w:szCs w:val="24"/>
          <w:lang w:val="es-SV"/>
        </w:rPr>
        <w:t xml:space="preserve">Dependencia Municipal que se en carga </w:t>
      </w:r>
      <w:r>
        <w:rPr>
          <w:sz w:val="24"/>
          <w:szCs w:val="24"/>
          <w:lang w:val="es-SV"/>
        </w:rPr>
        <w:t xml:space="preserve">y </w:t>
      </w:r>
      <w:r w:rsidRPr="00A81D9E">
        <w:rPr>
          <w:sz w:val="24"/>
          <w:szCs w:val="24"/>
          <w:lang w:val="es-SV"/>
        </w:rPr>
        <w:t xml:space="preserve">en coordinación </w:t>
      </w:r>
      <w:r>
        <w:rPr>
          <w:sz w:val="24"/>
          <w:szCs w:val="24"/>
          <w:lang w:val="es-SV"/>
        </w:rPr>
        <w:t xml:space="preserve">es </w:t>
      </w:r>
    </w:p>
    <w:p w:rsidR="001E2E8A" w:rsidRPr="00F03E50" w:rsidRDefault="001E2E8A">
      <w:pPr>
        <w:rPr>
          <w:lang w:val="es-SV"/>
        </w:rPr>
      </w:pPr>
    </w:p>
    <w:p w:rsidR="00C5781F" w:rsidRDefault="00A81D9E" w:rsidP="00C5781F">
      <w:pPr>
        <w:jc w:val="both"/>
        <w:rPr>
          <w:b/>
          <w:sz w:val="24"/>
          <w:szCs w:val="24"/>
        </w:rPr>
      </w:pPr>
      <w:r w:rsidRPr="00C11A62">
        <w:rPr>
          <w:b/>
          <w:sz w:val="24"/>
          <w:szCs w:val="24"/>
        </w:rPr>
        <w:t>La</w:t>
      </w:r>
      <w:r w:rsidR="00C5781F" w:rsidRPr="00C11A62">
        <w:rPr>
          <w:b/>
          <w:sz w:val="24"/>
          <w:szCs w:val="24"/>
        </w:rPr>
        <w:t xml:space="preserve"> Unidad De La Mujer Niñez Y Adolescencia  Y Comité Local De Derechos De La Niñez Y Adolescencia.</w:t>
      </w:r>
    </w:p>
    <w:p w:rsidR="006C2E52" w:rsidRPr="00C5781F" w:rsidRDefault="006C2E52" w:rsidP="003D23C1">
      <w:pPr>
        <w:pStyle w:val="Ttulo1"/>
        <w:rPr>
          <w:rFonts w:ascii="Calibri Light" w:eastAsia="SimSun" w:hAnsi="Calibri Light" w:cs="Times New Roman"/>
          <w:b w:val="0"/>
          <w:bCs w:val="0"/>
          <w:color w:val="2E74B5"/>
          <w:sz w:val="32"/>
          <w:szCs w:val="32"/>
          <w:lang w:eastAsia="zh-CN"/>
        </w:rPr>
      </w:pPr>
    </w:p>
    <w:sectPr w:rsidR="006C2E52" w:rsidRPr="00C5781F" w:rsidSect="006C2E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82" w:rsidRDefault="00C81582" w:rsidP="00575CAD">
      <w:pPr>
        <w:spacing w:after="0" w:line="240" w:lineRule="auto"/>
      </w:pPr>
      <w:r>
        <w:separator/>
      </w:r>
    </w:p>
  </w:endnote>
  <w:endnote w:type="continuationSeparator" w:id="1">
    <w:p w:rsidR="00C81582" w:rsidRDefault="00C81582" w:rsidP="005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82" w:rsidRDefault="00C81582" w:rsidP="00575CAD">
      <w:pPr>
        <w:spacing w:after="0" w:line="240" w:lineRule="auto"/>
      </w:pPr>
      <w:r>
        <w:separator/>
      </w:r>
    </w:p>
  </w:footnote>
  <w:footnote w:type="continuationSeparator" w:id="1">
    <w:p w:rsidR="00C81582" w:rsidRDefault="00C81582" w:rsidP="0057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AD" w:rsidRPr="00575CAD" w:rsidRDefault="00575CAD" w:rsidP="00575CAD">
    <w:pPr>
      <w:tabs>
        <w:tab w:val="left" w:pos="3087"/>
      </w:tabs>
      <w:spacing w:after="0"/>
      <w:rPr>
        <w:rFonts w:asciiTheme="minorHAnsi" w:eastAsiaTheme="minorHAnsi" w:hAnsiTheme="minorHAnsi" w:cstheme="minorBidi"/>
        <w:b/>
        <w:sz w:val="28"/>
        <w:szCs w:val="28"/>
        <w:lang w:val="es-SV"/>
      </w:rPr>
    </w:pPr>
    <w:r w:rsidRPr="00575CAD">
      <w:rPr>
        <w:rFonts w:asciiTheme="minorHAnsi" w:eastAsiaTheme="minorHAnsi" w:hAnsiTheme="minorHAnsi" w:cstheme="minorBidi"/>
        <w:noProof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-839470</wp:posOffset>
          </wp:positionH>
          <wp:positionV relativeFrom="paragraph">
            <wp:posOffset>85090</wp:posOffset>
          </wp:positionV>
          <wp:extent cx="931545" cy="1090295"/>
          <wp:effectExtent l="0" t="0" r="0" b="0"/>
          <wp:wrapSquare wrapText="bothSides"/>
          <wp:docPr id="1" name="Imagen 1" descr="C:\Users\OFI_INFORMACION\Downloads\WhatsApp Image 2020-01-14 at 9.24.2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_INFORMACION\Downloads\WhatsApp Image 2020-01-14 at 9.24.21 A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90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CAD">
      <w:rPr>
        <w:rFonts w:ascii="Times New Roman" w:eastAsiaTheme="minorHAnsi" w:hAnsi="Times New Roman"/>
        <w:noProof/>
        <w:sz w:val="28"/>
        <w:szCs w:val="28"/>
        <w:lang w:val="es-SV" w:eastAsia="es-SV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85090</wp:posOffset>
          </wp:positionV>
          <wp:extent cx="758190" cy="914400"/>
          <wp:effectExtent l="19050" t="19050" r="3810" b="0"/>
          <wp:wrapNone/>
          <wp:docPr id="2" name="Imagen 3" descr="muj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er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817" t="8081" r="10599" b="9584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8190" cy="914400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 w="25400">
                    <a:solidFill>
                      <a:srgbClr val="9900CC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CAD" w:rsidRPr="00575CAD" w:rsidRDefault="00575CAD" w:rsidP="00575CAD">
    <w:pPr>
      <w:tabs>
        <w:tab w:val="left" w:pos="3087"/>
      </w:tabs>
      <w:spacing w:after="0"/>
      <w:jc w:val="center"/>
      <w:rPr>
        <w:rFonts w:ascii="Gungsuh" w:eastAsia="Gungsuh" w:hAnsi="Gungsuh" w:cstheme="minorBidi"/>
        <w:b/>
        <w:sz w:val="28"/>
        <w:szCs w:val="28"/>
        <w:lang w:val="es-SV"/>
      </w:rPr>
    </w:pPr>
    <w:r w:rsidRPr="00575CAD">
      <w:rPr>
        <w:rFonts w:ascii="Gungsuh" w:eastAsia="Gungsuh" w:hAnsi="Gungsuh" w:cstheme="minorBidi"/>
        <w:b/>
        <w:sz w:val="28"/>
        <w:szCs w:val="28"/>
        <w:lang w:val="es-SV"/>
      </w:rPr>
      <w:t>ALCALDÍA MUNICIPAL DE SAN LUIS LA HERRADURA</w:t>
    </w:r>
  </w:p>
  <w:p w:rsidR="00575CAD" w:rsidRPr="00575CAD" w:rsidRDefault="00575CAD" w:rsidP="00575CAD">
    <w:pPr>
      <w:tabs>
        <w:tab w:val="left" w:pos="3087"/>
      </w:tabs>
      <w:spacing w:after="0"/>
      <w:jc w:val="center"/>
      <w:rPr>
        <w:rFonts w:asciiTheme="minorHAnsi" w:eastAsiaTheme="minorHAnsi" w:hAnsiTheme="minorHAnsi" w:cstheme="minorBidi"/>
        <w:b/>
        <w:color w:val="7030A0"/>
        <w:sz w:val="28"/>
        <w:szCs w:val="28"/>
        <w:lang w:val="es-SV"/>
      </w:rPr>
    </w:pPr>
    <w:r w:rsidRPr="00575CAD">
      <w:rPr>
        <w:rFonts w:asciiTheme="minorHAnsi" w:eastAsiaTheme="minorHAnsi" w:hAnsiTheme="minorHAnsi" w:cstheme="minorBidi"/>
        <w:b/>
        <w:color w:val="7030A0"/>
        <w:sz w:val="28"/>
        <w:szCs w:val="28"/>
        <w:lang w:val="es-SV"/>
      </w:rPr>
      <w:t>UNIDAD DE LA MUJER, NIÑEZ Y ADOLESCENCIA</w:t>
    </w:r>
  </w:p>
  <w:p w:rsidR="00575CAD" w:rsidRPr="00575CAD" w:rsidRDefault="004A52F5" w:rsidP="00575CAD">
    <w:pPr>
      <w:tabs>
        <w:tab w:val="left" w:pos="3087"/>
      </w:tabs>
      <w:spacing w:after="0"/>
      <w:jc w:val="center"/>
      <w:rPr>
        <w:rFonts w:asciiTheme="minorHAnsi" w:eastAsiaTheme="minorHAnsi" w:hAnsiTheme="minorHAnsi" w:cstheme="minorBidi"/>
        <w:b/>
        <w:color w:val="000000" w:themeColor="text1"/>
        <w:sz w:val="20"/>
        <w:szCs w:val="20"/>
        <w:u w:val="single"/>
        <w:lang w:val="es-SV"/>
      </w:rPr>
    </w:pPr>
    <w:hyperlink r:id="rId3" w:history="1">
      <w:r w:rsidR="00575CAD" w:rsidRPr="00575CAD">
        <w:rPr>
          <w:rFonts w:asciiTheme="minorHAnsi" w:eastAsiaTheme="minorHAnsi" w:hAnsiTheme="minorHAnsi" w:cstheme="minorBidi"/>
          <w:b/>
          <w:color w:val="7030A0"/>
          <w:sz w:val="20"/>
          <w:szCs w:val="20"/>
          <w:u w:val="single"/>
          <w:lang w:val="es-SV"/>
        </w:rPr>
        <w:t>unidadgeneroslh@gmail.com</w:t>
      </w:r>
    </w:hyperlink>
  </w:p>
  <w:p w:rsidR="00575CAD" w:rsidRDefault="00575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B32E"/>
      </v:shape>
    </w:pict>
  </w:numPicBullet>
  <w:abstractNum w:abstractNumId="0">
    <w:nsid w:val="38FD6F3B"/>
    <w:multiLevelType w:val="hybridMultilevel"/>
    <w:tmpl w:val="02BAD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36086"/>
    <w:multiLevelType w:val="hybridMultilevel"/>
    <w:tmpl w:val="769E210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9BA"/>
    <w:rsid w:val="000619BA"/>
    <w:rsid w:val="00084A22"/>
    <w:rsid w:val="000F1D42"/>
    <w:rsid w:val="00172232"/>
    <w:rsid w:val="001A058F"/>
    <w:rsid w:val="001E2E8A"/>
    <w:rsid w:val="001F386E"/>
    <w:rsid w:val="0020532B"/>
    <w:rsid w:val="002D187B"/>
    <w:rsid w:val="002E7EA7"/>
    <w:rsid w:val="0034242D"/>
    <w:rsid w:val="00366DD4"/>
    <w:rsid w:val="00393F30"/>
    <w:rsid w:val="003D23C1"/>
    <w:rsid w:val="00444A60"/>
    <w:rsid w:val="0046696F"/>
    <w:rsid w:val="004A52F5"/>
    <w:rsid w:val="00575CAD"/>
    <w:rsid w:val="00597407"/>
    <w:rsid w:val="005A5B5B"/>
    <w:rsid w:val="005A679D"/>
    <w:rsid w:val="006120CB"/>
    <w:rsid w:val="0068064A"/>
    <w:rsid w:val="006C2E52"/>
    <w:rsid w:val="006E73E8"/>
    <w:rsid w:val="007335CC"/>
    <w:rsid w:val="007434F6"/>
    <w:rsid w:val="007951BA"/>
    <w:rsid w:val="00870DF6"/>
    <w:rsid w:val="008D3317"/>
    <w:rsid w:val="009043A5"/>
    <w:rsid w:val="00921482"/>
    <w:rsid w:val="009808AA"/>
    <w:rsid w:val="009A18E4"/>
    <w:rsid w:val="00A81D9E"/>
    <w:rsid w:val="00B43C8A"/>
    <w:rsid w:val="00B53608"/>
    <w:rsid w:val="00B6383A"/>
    <w:rsid w:val="00C11A62"/>
    <w:rsid w:val="00C50190"/>
    <w:rsid w:val="00C55C97"/>
    <w:rsid w:val="00C5781F"/>
    <w:rsid w:val="00C618C2"/>
    <w:rsid w:val="00C625B8"/>
    <w:rsid w:val="00C7718A"/>
    <w:rsid w:val="00C81582"/>
    <w:rsid w:val="00C97230"/>
    <w:rsid w:val="00D3796F"/>
    <w:rsid w:val="00D9383E"/>
    <w:rsid w:val="00E27E14"/>
    <w:rsid w:val="00E4514B"/>
    <w:rsid w:val="00E65190"/>
    <w:rsid w:val="00E82589"/>
    <w:rsid w:val="00E9519E"/>
    <w:rsid w:val="00EB7DA3"/>
    <w:rsid w:val="00EE257E"/>
    <w:rsid w:val="00F03E50"/>
    <w:rsid w:val="00F74AAE"/>
    <w:rsid w:val="00F8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BA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2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19B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CA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CA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5B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E2E8A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E2E8A"/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Pa12">
    <w:name w:val="Pa12"/>
    <w:basedOn w:val="Normal"/>
    <w:next w:val="Normal"/>
    <w:uiPriority w:val="99"/>
    <w:rsid w:val="00C625B8"/>
    <w:pPr>
      <w:autoSpaceDE w:val="0"/>
      <w:autoSpaceDN w:val="0"/>
      <w:adjustRightInd w:val="0"/>
      <w:spacing w:after="0" w:line="221" w:lineRule="atLeast"/>
    </w:pPr>
    <w:rPr>
      <w:rFonts w:ascii="GillSans" w:eastAsiaTheme="minorHAnsi" w:hAnsi="GillSans" w:cstheme="minorBidi"/>
      <w:sz w:val="24"/>
      <w:szCs w:val="24"/>
      <w:lang w:val="es-SV"/>
    </w:rPr>
  </w:style>
  <w:style w:type="character" w:customStyle="1" w:styleId="A5">
    <w:name w:val="A5"/>
    <w:uiPriority w:val="99"/>
    <w:rsid w:val="00C625B8"/>
    <w:rPr>
      <w:rFonts w:cs="GillSan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dadgeneroslh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 SLH</dc:creator>
  <cp:lastModifiedBy>OFI_INFORMACION</cp:lastModifiedBy>
  <cp:revision>7</cp:revision>
  <dcterms:created xsi:type="dcterms:W3CDTF">2020-11-16T19:38:00Z</dcterms:created>
  <dcterms:modified xsi:type="dcterms:W3CDTF">2020-11-16T21:50:00Z</dcterms:modified>
</cp:coreProperties>
</file>