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8229" w14:textId="33978A2E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DECRETO</w:t>
      </w:r>
      <w:r w:rsidRPr="00BA0BBD">
        <w:rPr>
          <w:rFonts w:ascii="Book Antiqua" w:hAnsi="Book Antiqua"/>
          <w:b/>
          <w:bCs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No.</w:t>
      </w:r>
      <w:r w:rsidRPr="00BA0BBD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1</w:t>
      </w:r>
    </w:p>
    <w:p w14:paraId="579CE019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2B9B3037" w14:textId="6B8EDFD4" w:rsidR="00511387" w:rsidRPr="00BA0BBD" w:rsidRDefault="00511387" w:rsidP="00BA0BBD">
      <w:pPr>
        <w:pStyle w:val="Textoindependiente"/>
        <w:spacing w:line="276" w:lineRule="auto"/>
        <w:ind w:right="49"/>
        <w:contextualSpacing/>
        <w:jc w:val="both"/>
        <w:rPr>
          <w:rFonts w:ascii="Book Antiqua" w:hAnsi="Book Antiqua"/>
          <w:b/>
          <w:bCs/>
          <w:color w:val="231F20"/>
          <w:spacing w:val="-37"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CONCEJO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MUNICIPAL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VILLA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CARMEN,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DEPARTAMENTO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 xml:space="preserve">CUSCATLAN </w:t>
      </w:r>
      <w:r w:rsidRPr="00BA0BBD">
        <w:rPr>
          <w:rFonts w:ascii="Book Antiqua" w:hAnsi="Book Antiqua"/>
          <w:b/>
          <w:bCs/>
          <w:color w:val="231F20"/>
          <w:spacing w:val="-37"/>
          <w:sz w:val="20"/>
          <w:szCs w:val="20"/>
        </w:rPr>
        <w:t xml:space="preserve"> </w:t>
      </w:r>
    </w:p>
    <w:p w14:paraId="2E1B5099" w14:textId="77777777" w:rsidR="00BA0BBD" w:rsidRPr="00BA0BBD" w:rsidRDefault="00BA0BBD" w:rsidP="00BA0BBD">
      <w:pPr>
        <w:pStyle w:val="Textoindependiente"/>
        <w:spacing w:line="276" w:lineRule="auto"/>
        <w:ind w:right="2513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</w:p>
    <w:p w14:paraId="1E892856" w14:textId="3818E523" w:rsidR="00511387" w:rsidRPr="00BA0BBD" w:rsidRDefault="00511387" w:rsidP="00BA0BBD">
      <w:pPr>
        <w:pStyle w:val="Textoindependiente"/>
        <w:spacing w:line="276" w:lineRule="auto"/>
        <w:ind w:right="2513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CONSIDERANDO:</w:t>
      </w:r>
    </w:p>
    <w:p w14:paraId="2655793D" w14:textId="77777777" w:rsidR="00BA0BBD" w:rsidRPr="00BA0BBD" w:rsidRDefault="00BA0BBD" w:rsidP="00BA0BBD">
      <w:pPr>
        <w:pStyle w:val="Textoindependiente"/>
        <w:spacing w:line="276" w:lineRule="auto"/>
        <w:ind w:right="2513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5554BA7A" w14:textId="77777777" w:rsidR="00511387" w:rsidRPr="00BA0BBD" w:rsidRDefault="00511387" w:rsidP="00BA0BBD">
      <w:pPr>
        <w:pStyle w:val="Prrafodelista"/>
        <w:numPr>
          <w:ilvl w:val="0"/>
          <w:numId w:val="1"/>
        </w:numPr>
        <w:tabs>
          <w:tab w:val="left" w:pos="848"/>
        </w:tabs>
        <w:spacing w:line="276" w:lineRule="auto"/>
        <w:ind w:right="164"/>
        <w:contextualSpacing/>
        <w:jc w:val="both"/>
        <w:rPr>
          <w:rFonts w:ascii="Book Antiqua" w:hAnsi="Book Antiqua"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conformidad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al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Arts.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203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Inciso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1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204,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Ordinales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1°.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5°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Constitución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República,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al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Art.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7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-6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Ley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General</w:t>
      </w:r>
      <w:r w:rsidRPr="00BA0BBD">
        <w:rPr>
          <w:rFonts w:ascii="Book Antiqua" w:hAnsi="Book Antiqua"/>
          <w:color w:val="231F20"/>
          <w:spacing w:val="-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Tributaria</w:t>
      </w:r>
      <w:r w:rsidRPr="00BA0BBD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 y Arts., 3 -Numeral 1- y 30 -Numerales 4 y 21- del Código Municipal; es competencia de las Municipalidades de la República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decretar,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modificar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derogar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Ordenanzas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regulen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Tasas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Municipales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manera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general,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tributos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competencia.</w:t>
      </w:r>
    </w:p>
    <w:p w14:paraId="6B1D6E56" w14:textId="77777777" w:rsidR="00511387" w:rsidRPr="00BA0BBD" w:rsidRDefault="00511387" w:rsidP="00BA0BBD">
      <w:pPr>
        <w:pStyle w:val="Prrafodelista"/>
        <w:numPr>
          <w:ilvl w:val="0"/>
          <w:numId w:val="1"/>
        </w:numPr>
        <w:tabs>
          <w:tab w:val="left" w:pos="848"/>
        </w:tabs>
        <w:spacing w:line="276" w:lineRule="auto"/>
        <w:ind w:right="162" w:hanging="329"/>
        <w:contextualSpacing/>
        <w:jc w:val="both"/>
        <w:rPr>
          <w:rFonts w:ascii="Book Antiqua" w:hAnsi="Book Antiqua"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conformidad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al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Artículo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47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Ley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General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Tributaria,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tributos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Municipales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no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fueren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pagados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-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plazo</w:t>
      </w:r>
      <w:r w:rsidRPr="00BA0BBD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correspondiente,</w:t>
      </w:r>
      <w:r w:rsidRPr="00BA0BBD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causarán un interés moratorio; de igual forma el Artículo 65 de la misma Ley establece la facultad de imponer multas por la omisión del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pago o efectuar el pago fuera de los plazos establecidos; y según los registros de Cuentas Corrientes; consta que existen contribuyentes que</w:t>
      </w:r>
      <w:r w:rsidRPr="00BA0BBD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se encuentran en mora.</w:t>
      </w:r>
    </w:p>
    <w:p w14:paraId="2D38EDD3" w14:textId="74D0ED8F" w:rsidR="00511387" w:rsidRPr="00BA0BBD" w:rsidRDefault="00511387" w:rsidP="00BA0BBD">
      <w:pPr>
        <w:pStyle w:val="Prrafodelista"/>
        <w:numPr>
          <w:ilvl w:val="0"/>
          <w:numId w:val="1"/>
        </w:numPr>
        <w:tabs>
          <w:tab w:val="left" w:pos="848"/>
        </w:tabs>
        <w:spacing w:line="276" w:lineRule="auto"/>
        <w:ind w:hanging="383"/>
        <w:contextualSpacing/>
        <w:jc w:val="both"/>
        <w:rPr>
          <w:rFonts w:ascii="Book Antiqua" w:hAnsi="Book Antiqua"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urgente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Gobierno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Villa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Carmen,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Departamento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Cuscatlán,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incremente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ingresos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mediante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cobro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="00E12C22" w:rsidRPr="00BA0BBD">
        <w:rPr>
          <w:rFonts w:ascii="Book Antiqua" w:hAnsi="Book Antiqua"/>
          <w:color w:val="231F20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tasas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impuestos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municipales,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fin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mantener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prestación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servicios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bienestar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habitantes.</w:t>
      </w:r>
    </w:p>
    <w:p w14:paraId="7C087B3C" w14:textId="77777777" w:rsidR="00511387" w:rsidRPr="00BA0BBD" w:rsidRDefault="00511387" w:rsidP="00BA0BBD">
      <w:pPr>
        <w:pStyle w:val="Prrafodelista"/>
        <w:numPr>
          <w:ilvl w:val="0"/>
          <w:numId w:val="1"/>
        </w:numPr>
        <w:tabs>
          <w:tab w:val="left" w:pos="898"/>
        </w:tabs>
        <w:spacing w:line="276" w:lineRule="auto"/>
        <w:ind w:right="163" w:hanging="392"/>
        <w:contextualSpacing/>
        <w:jc w:val="both"/>
        <w:rPr>
          <w:rFonts w:ascii="Book Antiqua" w:hAnsi="Book Antiqua"/>
          <w:sz w:val="20"/>
          <w:szCs w:val="20"/>
        </w:rPr>
      </w:pPr>
      <w:r w:rsidRPr="00BA0BBD">
        <w:rPr>
          <w:rFonts w:ascii="Book Antiqua" w:hAnsi="Book Antiqua"/>
          <w:sz w:val="20"/>
          <w:szCs w:val="20"/>
        </w:rPr>
        <w:tab/>
      </w:r>
      <w:proofErr w:type="gramStart"/>
      <w:r w:rsidRPr="00BA0BBD">
        <w:rPr>
          <w:rFonts w:ascii="Book Antiqua" w:hAnsi="Book Antiqua"/>
          <w:color w:val="231F20"/>
          <w:sz w:val="20"/>
          <w:szCs w:val="20"/>
        </w:rPr>
        <w:t>Que</w:t>
      </w:r>
      <w:proofErr w:type="gramEnd"/>
      <w:r w:rsidRPr="00BA0BBD">
        <w:rPr>
          <w:rFonts w:ascii="Book Antiqua" w:hAnsi="Book Antiqua"/>
          <w:color w:val="231F20"/>
          <w:sz w:val="20"/>
          <w:szCs w:val="20"/>
        </w:rPr>
        <w:t xml:space="preserve"> con el propósito de facilitar el pago de la mora tributaria a favor del Municipio, es conveniente otorgar incentivos tributarios con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carácter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transitorio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estimulen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contribuyentes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al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pago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deudas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tributarias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Municipales.</w:t>
      </w:r>
    </w:p>
    <w:p w14:paraId="6C6CA6DA" w14:textId="77777777" w:rsidR="00511387" w:rsidRPr="00BA0BBD" w:rsidRDefault="00511387" w:rsidP="00BA0BBD">
      <w:pPr>
        <w:pStyle w:val="Prrafodelista"/>
        <w:numPr>
          <w:ilvl w:val="0"/>
          <w:numId w:val="1"/>
        </w:numPr>
        <w:tabs>
          <w:tab w:val="left" w:pos="848"/>
        </w:tabs>
        <w:spacing w:line="276" w:lineRule="auto"/>
        <w:ind w:right="163" w:hanging="338"/>
        <w:contextualSpacing/>
        <w:jc w:val="both"/>
        <w:rPr>
          <w:rFonts w:ascii="Book Antiqua" w:hAnsi="Book Antiqua"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Que al no existir en la Constitución ni en la Legislación Secundaria, prohibición alguna que limite dispensar el pago de accesorios a la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obligación tributaria, relativos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 intereses moratorios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 multas.</w:t>
      </w:r>
    </w:p>
    <w:p w14:paraId="7702924F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</w:p>
    <w:p w14:paraId="22A186D4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POR</w:t>
      </w:r>
      <w:r w:rsidRPr="00BA0BBD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TANTO:</w:t>
      </w:r>
    </w:p>
    <w:p w14:paraId="016CA3B4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color w:val="231F20"/>
          <w:sz w:val="20"/>
          <w:szCs w:val="20"/>
        </w:rPr>
      </w:pPr>
    </w:p>
    <w:p w14:paraId="094FF7E7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En</w:t>
      </w:r>
      <w:r w:rsidRPr="00BA0BBD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uso</w:t>
      </w:r>
      <w:r w:rsidRPr="00BA0BBD">
        <w:rPr>
          <w:rFonts w:ascii="Book Antiqua" w:hAnsi="Book Antiqua"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sus</w:t>
      </w:r>
      <w:r w:rsidRPr="00BA0BBD">
        <w:rPr>
          <w:rFonts w:ascii="Book Antiqua" w:hAnsi="Book Antiqua"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facultades</w:t>
      </w:r>
      <w:r w:rsidRPr="00BA0BBD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constitucionales</w:t>
      </w:r>
      <w:r w:rsidRPr="00BA0BBD">
        <w:rPr>
          <w:rFonts w:ascii="Book Antiqua" w:hAnsi="Book Antiqua"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legales,</w:t>
      </w:r>
    </w:p>
    <w:p w14:paraId="22DB1759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</w:p>
    <w:p w14:paraId="0574C5C6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DECRETA:</w:t>
      </w:r>
    </w:p>
    <w:p w14:paraId="3AB24EDD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2DA38FB5" w14:textId="77777777" w:rsidR="00BA0BBD" w:rsidRPr="00BA0BBD" w:rsidRDefault="00511387" w:rsidP="00BA0BBD">
      <w:pPr>
        <w:pStyle w:val="Textoindependiente"/>
        <w:spacing w:line="276" w:lineRule="auto"/>
        <w:contextualSpacing/>
        <w:jc w:val="center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ORDENANZA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TRANSITORIA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EXENCIÓN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MULTAS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INTERESES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ORIGINADAS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POR</w:t>
      </w:r>
      <w:r w:rsidRPr="00BA0BBD">
        <w:rPr>
          <w:rFonts w:ascii="Book Antiqua" w:hAnsi="Book Antiqua"/>
          <w:b/>
          <w:bCs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DEUDAS DE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TASAS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IMPUESTOS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A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FAVOR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DEL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MUNICIPIO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VILLA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CARMEN,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DEPARTAMENTO</w:t>
      </w:r>
      <w:r w:rsidRPr="00BA0BBD">
        <w:rPr>
          <w:rFonts w:ascii="Book Antiqua" w:hAnsi="Book Antiqua"/>
          <w:b/>
          <w:bCs/>
          <w:color w:val="231F20"/>
          <w:spacing w:val="6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7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CUSCATLAN.</w:t>
      </w:r>
    </w:p>
    <w:p w14:paraId="2DD6FDD1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54BEFC38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Objeto</w:t>
      </w:r>
      <w:r w:rsidRPr="00BA0BBD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Ordenanza</w:t>
      </w:r>
    </w:p>
    <w:p w14:paraId="2B158FAC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78A28261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Art. 1.- La presente ordenanza tiene como objeto eximir de intereses moratorios y multas a los sujetos pasivos de la obligación tributaria municipal, que adeuden al municipio de Villa El Carmen departamento de Cuscatlán, cantidades en concepto de tasas e impuestos municipales. La duración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será de sesenta días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contados a partir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 su entrada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 vigencia.</w:t>
      </w:r>
    </w:p>
    <w:p w14:paraId="3AC72F35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79575314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Sujetos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aplicación</w:t>
      </w:r>
    </w:p>
    <w:p w14:paraId="7791BE84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6C663A3E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 xml:space="preserve">Art. 2.- Podrán acogerse a los beneficios establecidos en el artículo anterior las personas naturales o </w:t>
      </w:r>
      <w:r w:rsidRPr="00BA0BBD">
        <w:rPr>
          <w:rFonts w:ascii="Book Antiqua" w:hAnsi="Book Antiqua"/>
          <w:color w:val="231F20"/>
          <w:sz w:val="20"/>
          <w:szCs w:val="20"/>
        </w:rPr>
        <w:lastRenderedPageBreak/>
        <w:t>jurídicas que se encuentren en situación de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morosidad.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planes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pago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hasta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hoy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suscritos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deberán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ajustarse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al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plazo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este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decreto,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como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condición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para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gozar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este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beneficio.</w:t>
      </w:r>
    </w:p>
    <w:p w14:paraId="19060357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19A8D245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Art. 3.- Los contribuyentes interesados deberán solicitarlo en la Unidad de Cuentas Corrientes del municipio y efectuar sus pagos en forma total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 parcial en el plazo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indicado en el artículo uno.</w:t>
      </w:r>
    </w:p>
    <w:p w14:paraId="5733CBE8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28C91DAD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Vencimiento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plazo</w:t>
      </w:r>
    </w:p>
    <w:p w14:paraId="5906B1BE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332391AF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Art.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4.-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Después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vencido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plazo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que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regula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esta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ordenanza,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cesarán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inmediato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sin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previo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aviso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los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beneficios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otorgados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</w:t>
      </w:r>
      <w:r w:rsidRPr="00BA0BBD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8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misma</w:t>
      </w:r>
      <w:r w:rsidRPr="00BA0BBD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y en consecuencia faculta al Concejo Municipal o a sus designados, a seguir con el cobro de la deuda tributaria municipal por las vías que estable la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ley.</w:t>
      </w:r>
    </w:p>
    <w:p w14:paraId="58EA446B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60A0A87E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Vigencia</w:t>
      </w:r>
    </w:p>
    <w:p w14:paraId="7D8AD05A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02CFF808" w14:textId="77777777" w:rsidR="00BA0BBD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Art.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5.-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La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presente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ordenanza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entrará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vigencia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ocho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días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después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de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su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publicación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en</w:t>
      </w:r>
      <w:r w:rsidRPr="00BA0BBD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el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Diario</w:t>
      </w:r>
      <w:r w:rsidRPr="00BA0BBD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Oficial.</w:t>
      </w:r>
    </w:p>
    <w:p w14:paraId="488AF1CF" w14:textId="77777777" w:rsidR="00BA0BBD" w:rsidRPr="00BA0BBD" w:rsidRDefault="00BA0BBD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</w:p>
    <w:p w14:paraId="7B046377" w14:textId="7F6B0AD1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color w:val="231F20"/>
          <w:sz w:val="20"/>
          <w:szCs w:val="20"/>
        </w:rPr>
        <w:t>Dado en el Salón de Sesiones del Concejo Municipal de Villa El Carmen, departamento de Cuscatlán a los siete días del mes de noviembre del</w:t>
      </w:r>
      <w:r w:rsidRPr="00BA0BBD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BA0BBD">
        <w:rPr>
          <w:rFonts w:ascii="Book Antiqua" w:hAnsi="Book Antiqua"/>
          <w:color w:val="231F20"/>
          <w:sz w:val="20"/>
          <w:szCs w:val="20"/>
        </w:rPr>
        <w:t>año dos mil dieciocho. -</w:t>
      </w:r>
    </w:p>
    <w:p w14:paraId="7268B474" w14:textId="0D949EC2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00FF2B43" w14:textId="77777777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456D34C2" w14:textId="77777777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1387" w:rsidRPr="00BA0BBD" w14:paraId="28BC87BF" w14:textId="77777777" w:rsidTr="00BA0BBD">
        <w:tc>
          <w:tcPr>
            <w:tcW w:w="4414" w:type="dxa"/>
            <w:vAlign w:val="center"/>
          </w:tcPr>
          <w:p w14:paraId="2899BC2E" w14:textId="77777777" w:rsidR="00511387" w:rsidRPr="00BA0BBD" w:rsidRDefault="00511387" w:rsidP="00BA0BBD">
            <w:pPr>
              <w:pStyle w:val="Textoindependiente"/>
              <w:spacing w:line="276" w:lineRule="auto"/>
              <w:contextualSpacing/>
              <w:jc w:val="center"/>
              <w:rPr>
                <w:rFonts w:ascii="Book Antiqua" w:hAnsi="Book Antiqua"/>
                <w:color w:val="231F20"/>
              </w:rPr>
            </w:pPr>
            <w:r w:rsidRPr="00BA0BBD">
              <w:rPr>
                <w:rFonts w:ascii="Book Antiqua" w:hAnsi="Book Antiqua"/>
                <w:color w:val="231F20"/>
              </w:rPr>
              <w:t>LICDA.</w:t>
            </w:r>
            <w:r w:rsidRPr="00BA0BBD">
              <w:rPr>
                <w:rFonts w:ascii="Book Antiqua" w:hAnsi="Book Antiqua"/>
                <w:color w:val="231F20"/>
                <w:spacing w:val="8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LETICIA</w:t>
            </w:r>
            <w:r w:rsidRPr="00BA0BBD">
              <w:rPr>
                <w:rFonts w:ascii="Book Antiqua" w:hAnsi="Book Antiqua"/>
                <w:color w:val="231F20"/>
                <w:spacing w:val="9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DE</w:t>
            </w:r>
            <w:r w:rsidRPr="00BA0BBD">
              <w:rPr>
                <w:rFonts w:ascii="Book Antiqua" w:hAnsi="Book Antiqua"/>
                <w:color w:val="231F20"/>
                <w:spacing w:val="9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JESÚS</w:t>
            </w:r>
            <w:r w:rsidRPr="00BA0BBD">
              <w:rPr>
                <w:rFonts w:ascii="Book Antiqua" w:hAnsi="Book Antiqua"/>
                <w:color w:val="231F20"/>
                <w:spacing w:val="9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HERNÁNDEZ</w:t>
            </w:r>
            <w:r w:rsidRPr="00BA0BBD">
              <w:rPr>
                <w:rFonts w:ascii="Book Antiqua" w:hAnsi="Book Antiqua"/>
                <w:color w:val="231F20"/>
                <w:spacing w:val="9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SÁNCHEZ,</w:t>
            </w:r>
          </w:p>
          <w:p w14:paraId="00678310" w14:textId="652DC98B" w:rsidR="00511387" w:rsidRPr="00BA0BBD" w:rsidRDefault="00511387" w:rsidP="00BA0BBD">
            <w:pPr>
              <w:pStyle w:val="Textoindependiente"/>
              <w:spacing w:line="276" w:lineRule="auto"/>
              <w:contextualSpacing/>
              <w:jc w:val="center"/>
              <w:rPr>
                <w:rFonts w:ascii="Book Antiqua" w:hAnsi="Book Antiqua"/>
              </w:rPr>
            </w:pPr>
            <w:r w:rsidRPr="00BA0BBD">
              <w:rPr>
                <w:rFonts w:ascii="Book Antiqua" w:hAnsi="Book Antiqua"/>
                <w:color w:val="231F20"/>
              </w:rPr>
              <w:t>ALCALDESA</w:t>
            </w:r>
            <w:r w:rsidRPr="00BA0BBD">
              <w:rPr>
                <w:rFonts w:ascii="Book Antiqua" w:hAnsi="Book Antiqua"/>
                <w:color w:val="231F20"/>
                <w:spacing w:val="7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MUNICIPAL.</w:t>
            </w:r>
          </w:p>
        </w:tc>
        <w:tc>
          <w:tcPr>
            <w:tcW w:w="4414" w:type="dxa"/>
            <w:vAlign w:val="center"/>
          </w:tcPr>
          <w:p w14:paraId="513900C1" w14:textId="098DDCFB" w:rsidR="00511387" w:rsidRPr="00BA0BBD" w:rsidRDefault="00511387" w:rsidP="00BA0BBD">
            <w:pPr>
              <w:pStyle w:val="Textoindependiente"/>
              <w:spacing w:line="276" w:lineRule="auto"/>
              <w:contextualSpacing/>
              <w:jc w:val="center"/>
              <w:rPr>
                <w:rFonts w:ascii="Book Antiqua" w:hAnsi="Book Antiqua"/>
                <w:color w:val="231F20"/>
              </w:rPr>
            </w:pPr>
            <w:r w:rsidRPr="00BA0BBD">
              <w:rPr>
                <w:rFonts w:ascii="Book Antiqua" w:hAnsi="Book Antiqua"/>
                <w:color w:val="231F20"/>
              </w:rPr>
              <w:t>CARLA</w:t>
            </w:r>
            <w:r w:rsidRPr="00BA0BBD">
              <w:rPr>
                <w:rFonts w:ascii="Book Antiqua" w:hAnsi="Book Antiqua"/>
                <w:color w:val="231F20"/>
                <w:spacing w:val="4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TRINIDAD</w:t>
            </w:r>
            <w:r w:rsidRPr="00BA0BBD">
              <w:rPr>
                <w:rFonts w:ascii="Book Antiqua" w:hAnsi="Book Antiqua"/>
                <w:color w:val="231F20"/>
                <w:spacing w:val="3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ABARCA,</w:t>
            </w:r>
          </w:p>
          <w:p w14:paraId="1E1BBA08" w14:textId="7F1B3123" w:rsidR="00511387" w:rsidRPr="00BA0BBD" w:rsidRDefault="00511387" w:rsidP="00BA0BBD">
            <w:pPr>
              <w:pStyle w:val="Textoindependiente"/>
              <w:spacing w:line="276" w:lineRule="auto"/>
              <w:contextualSpacing/>
              <w:jc w:val="center"/>
              <w:rPr>
                <w:rFonts w:ascii="Book Antiqua" w:hAnsi="Book Antiqua"/>
              </w:rPr>
            </w:pPr>
            <w:r w:rsidRPr="00BA0BBD">
              <w:rPr>
                <w:rFonts w:ascii="Book Antiqua" w:hAnsi="Book Antiqua"/>
                <w:color w:val="231F20"/>
              </w:rPr>
              <w:t>SECRETARIA</w:t>
            </w:r>
            <w:r w:rsidRPr="00BA0BBD">
              <w:rPr>
                <w:rFonts w:ascii="Book Antiqua" w:hAnsi="Book Antiqua"/>
                <w:color w:val="231F20"/>
                <w:spacing w:val="7"/>
              </w:rPr>
              <w:t xml:space="preserve"> </w:t>
            </w:r>
            <w:r w:rsidRPr="00BA0BBD">
              <w:rPr>
                <w:rFonts w:ascii="Book Antiqua" w:hAnsi="Book Antiqua"/>
                <w:color w:val="231F20"/>
              </w:rPr>
              <w:t>MUNICIPAL.</w:t>
            </w:r>
          </w:p>
        </w:tc>
      </w:tr>
    </w:tbl>
    <w:p w14:paraId="73C18A5D" w14:textId="77777777" w:rsidR="00511387" w:rsidRPr="00BA0BBD" w:rsidRDefault="00511387" w:rsidP="00BA0BBD">
      <w:pPr>
        <w:pStyle w:val="Textoindependiente"/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186B4997" w14:textId="77777777" w:rsidR="00047722" w:rsidRPr="00BA0BBD" w:rsidRDefault="00047722" w:rsidP="00BA0BBD">
      <w:pPr>
        <w:pStyle w:val="Textoindependiente"/>
        <w:spacing w:line="276" w:lineRule="auto"/>
        <w:ind w:right="49"/>
        <w:contextualSpacing/>
        <w:jc w:val="both"/>
        <w:rPr>
          <w:rFonts w:ascii="Book Antiqua" w:hAnsi="Book Antiqua"/>
          <w:color w:val="231F20"/>
          <w:sz w:val="20"/>
          <w:szCs w:val="20"/>
        </w:rPr>
      </w:pPr>
    </w:p>
    <w:p w14:paraId="38B042C6" w14:textId="6F359384" w:rsidR="00886310" w:rsidRPr="00BA0BBD" w:rsidRDefault="00886310" w:rsidP="00BA0BBD">
      <w:pPr>
        <w:pStyle w:val="Textoindependiente"/>
        <w:spacing w:line="276" w:lineRule="auto"/>
        <w:ind w:right="49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PUBLICACIÓN</w:t>
      </w:r>
    </w:p>
    <w:p w14:paraId="0CE0E08E" w14:textId="4EBF673D" w:rsidR="00047722" w:rsidRPr="00BA0BBD" w:rsidRDefault="00047722" w:rsidP="00BA0BBD">
      <w:pPr>
        <w:pStyle w:val="Textoindependiente"/>
        <w:spacing w:line="276" w:lineRule="auto"/>
        <w:ind w:right="49"/>
        <w:contextualSpacing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 xml:space="preserve">DIARIO OFICIAL NÚMERO 214 TOMO </w:t>
      </w:r>
      <w:proofErr w:type="spellStart"/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Nº</w:t>
      </w:r>
      <w:proofErr w:type="spellEnd"/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 xml:space="preserve"> 421, 15 DE NOVIEMBRE DE 2018</w:t>
      </w:r>
    </w:p>
    <w:p w14:paraId="059A6C78" w14:textId="5C10D5A4" w:rsidR="00333685" w:rsidRPr="00BA0BBD" w:rsidRDefault="00511387" w:rsidP="00BA0BBD">
      <w:pPr>
        <w:pStyle w:val="Textoindependiente"/>
        <w:spacing w:line="276" w:lineRule="auto"/>
        <w:ind w:right="49"/>
        <w:contextualSpacing/>
        <w:jc w:val="center"/>
        <w:rPr>
          <w:rFonts w:ascii="Book Antiqua" w:hAnsi="Book Antiqua"/>
          <w:b/>
          <w:bCs/>
          <w:sz w:val="20"/>
          <w:szCs w:val="20"/>
        </w:rPr>
      </w:pP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(Registro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No.</w:t>
      </w:r>
      <w:r w:rsidRPr="00BA0BBD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BA0BBD">
        <w:rPr>
          <w:rFonts w:ascii="Book Antiqua" w:hAnsi="Book Antiqua"/>
          <w:b/>
          <w:bCs/>
          <w:color w:val="231F20"/>
          <w:sz w:val="20"/>
          <w:szCs w:val="20"/>
        </w:rPr>
        <w:t>F014677)</w:t>
      </w:r>
    </w:p>
    <w:sectPr w:rsidR="00333685" w:rsidRPr="00BA0BBD" w:rsidSect="00511387">
      <w:pgSz w:w="12240" w:h="15840" w:code="1"/>
      <w:pgMar w:top="1417" w:right="1701" w:bottom="1417" w:left="1701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4CD"/>
    <w:multiLevelType w:val="hybridMultilevel"/>
    <w:tmpl w:val="A822D200"/>
    <w:lvl w:ilvl="0" w:tplc="DAEC46B4">
      <w:start w:val="1"/>
      <w:numFmt w:val="upperRoman"/>
      <w:lvlText w:val="%1."/>
      <w:lvlJc w:val="left"/>
      <w:pPr>
        <w:ind w:left="847" w:hanging="27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CED8B43A">
      <w:numFmt w:val="bullet"/>
      <w:lvlText w:val="•"/>
      <w:lvlJc w:val="left"/>
      <w:pPr>
        <w:ind w:left="1747" w:hanging="275"/>
      </w:pPr>
      <w:rPr>
        <w:rFonts w:hint="default"/>
        <w:lang w:val="es-ES" w:eastAsia="en-US" w:bidi="ar-SA"/>
      </w:rPr>
    </w:lvl>
    <w:lvl w:ilvl="2" w:tplc="9F0E5888">
      <w:numFmt w:val="bullet"/>
      <w:lvlText w:val="•"/>
      <w:lvlJc w:val="left"/>
      <w:pPr>
        <w:ind w:left="2654" w:hanging="275"/>
      </w:pPr>
      <w:rPr>
        <w:rFonts w:hint="default"/>
        <w:lang w:val="es-ES" w:eastAsia="en-US" w:bidi="ar-SA"/>
      </w:rPr>
    </w:lvl>
    <w:lvl w:ilvl="3" w:tplc="DDA6DB8A">
      <w:numFmt w:val="bullet"/>
      <w:lvlText w:val="•"/>
      <w:lvlJc w:val="left"/>
      <w:pPr>
        <w:ind w:left="3561" w:hanging="275"/>
      </w:pPr>
      <w:rPr>
        <w:rFonts w:hint="default"/>
        <w:lang w:val="es-ES" w:eastAsia="en-US" w:bidi="ar-SA"/>
      </w:rPr>
    </w:lvl>
    <w:lvl w:ilvl="4" w:tplc="CC9E7D1E">
      <w:numFmt w:val="bullet"/>
      <w:lvlText w:val="•"/>
      <w:lvlJc w:val="left"/>
      <w:pPr>
        <w:ind w:left="4468" w:hanging="275"/>
      </w:pPr>
      <w:rPr>
        <w:rFonts w:hint="default"/>
        <w:lang w:val="es-ES" w:eastAsia="en-US" w:bidi="ar-SA"/>
      </w:rPr>
    </w:lvl>
    <w:lvl w:ilvl="5" w:tplc="7820FDF6">
      <w:numFmt w:val="bullet"/>
      <w:lvlText w:val="•"/>
      <w:lvlJc w:val="left"/>
      <w:pPr>
        <w:ind w:left="5376" w:hanging="275"/>
      </w:pPr>
      <w:rPr>
        <w:rFonts w:hint="default"/>
        <w:lang w:val="es-ES" w:eastAsia="en-US" w:bidi="ar-SA"/>
      </w:rPr>
    </w:lvl>
    <w:lvl w:ilvl="6" w:tplc="8E4EA792">
      <w:numFmt w:val="bullet"/>
      <w:lvlText w:val="•"/>
      <w:lvlJc w:val="left"/>
      <w:pPr>
        <w:ind w:left="6283" w:hanging="275"/>
      </w:pPr>
      <w:rPr>
        <w:rFonts w:hint="default"/>
        <w:lang w:val="es-ES" w:eastAsia="en-US" w:bidi="ar-SA"/>
      </w:rPr>
    </w:lvl>
    <w:lvl w:ilvl="7" w:tplc="0458F902">
      <w:numFmt w:val="bullet"/>
      <w:lvlText w:val="•"/>
      <w:lvlJc w:val="left"/>
      <w:pPr>
        <w:ind w:left="7190" w:hanging="275"/>
      </w:pPr>
      <w:rPr>
        <w:rFonts w:hint="default"/>
        <w:lang w:val="es-ES" w:eastAsia="en-US" w:bidi="ar-SA"/>
      </w:rPr>
    </w:lvl>
    <w:lvl w:ilvl="8" w:tplc="8DFEF5C4">
      <w:numFmt w:val="bullet"/>
      <w:lvlText w:val="•"/>
      <w:lvlJc w:val="left"/>
      <w:pPr>
        <w:ind w:left="8097" w:hanging="275"/>
      </w:pPr>
      <w:rPr>
        <w:rFonts w:hint="default"/>
        <w:lang w:val="es-ES" w:eastAsia="en-US" w:bidi="ar-SA"/>
      </w:rPr>
    </w:lvl>
  </w:abstractNum>
  <w:num w:numId="1" w16cid:durableId="13483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87"/>
    <w:rsid w:val="00047722"/>
    <w:rsid w:val="00333685"/>
    <w:rsid w:val="00511387"/>
    <w:rsid w:val="00886310"/>
    <w:rsid w:val="00B05E3A"/>
    <w:rsid w:val="00B90F2D"/>
    <w:rsid w:val="00BA0BBD"/>
    <w:rsid w:val="00BA3E42"/>
    <w:rsid w:val="00E1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B8E44"/>
  <w15:chartTrackingRefBased/>
  <w15:docId w15:val="{DC9BC5E1-E0F4-4160-8A74-E57DA30E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511387"/>
    <w:pPr>
      <w:ind w:left="127"/>
      <w:outlineLvl w:val="4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11387"/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1138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138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511387"/>
    <w:pPr>
      <w:ind w:left="847" w:hanging="315"/>
      <w:jc w:val="both"/>
    </w:pPr>
  </w:style>
  <w:style w:type="table" w:styleId="Tablaconcuadrcula">
    <w:name w:val="Table Grid"/>
    <w:basedOn w:val="Tablanormal"/>
    <w:uiPriority w:val="39"/>
    <w:rsid w:val="0051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7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7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72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722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6</cp:revision>
  <dcterms:created xsi:type="dcterms:W3CDTF">2023-03-16T22:20:00Z</dcterms:created>
  <dcterms:modified xsi:type="dcterms:W3CDTF">2023-03-27T20:41:00Z</dcterms:modified>
</cp:coreProperties>
</file>