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2875" w14:textId="0C717C63" w:rsidR="00D713EF" w:rsidRPr="002379A9" w:rsidRDefault="00D713EF" w:rsidP="00D713EF">
      <w:pPr>
        <w:spacing w:line="276" w:lineRule="auto"/>
        <w:jc w:val="both"/>
        <w:rPr>
          <w:rFonts w:ascii="Book Antiqua" w:hAnsi="Book Antiqua" w:cstheme="majorHAnsi"/>
          <w:b/>
          <w:i/>
          <w:color w:val="auto"/>
          <w:lang w:val="es-ES_tradnl"/>
        </w:rPr>
      </w:pPr>
      <w:r w:rsidRPr="002379A9">
        <w:rPr>
          <w:rFonts w:ascii="Book Antiqua" w:hAnsi="Book Antiqua" w:cstheme="majorHAnsi"/>
          <w:b/>
          <w:i/>
          <w:color w:val="auto"/>
          <w:lang w:val="es-ES_tradnl"/>
        </w:rPr>
        <w:t xml:space="preserve">ACTA NÚMERO </w:t>
      </w:r>
      <w:r w:rsidR="00732779">
        <w:rPr>
          <w:rFonts w:ascii="Book Antiqua" w:hAnsi="Book Antiqua" w:cstheme="majorHAnsi"/>
          <w:b/>
          <w:i/>
          <w:color w:val="auto"/>
          <w:lang w:val="es-ES_tradnl"/>
        </w:rPr>
        <w:t>TRES</w:t>
      </w:r>
    </w:p>
    <w:p w14:paraId="4D02BAC4" w14:textId="06B7E1AF" w:rsidR="00D713EF" w:rsidRPr="00A61A17" w:rsidRDefault="00D713EF" w:rsidP="00D713EF">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 xml:space="preserve">En la Alcaldía Municipal de Villa El Carmen, Departamento de Cuscatlán a las diez horas, del día </w:t>
      </w:r>
      <w:r w:rsidR="00732779" w:rsidRPr="00A61A17">
        <w:rPr>
          <w:rFonts w:ascii="Book Antiqua" w:hAnsi="Book Antiqua" w:cstheme="majorHAnsi"/>
          <w:b/>
          <w:i/>
          <w:color w:val="auto"/>
          <w:sz w:val="22"/>
          <w:szCs w:val="22"/>
          <w:lang w:val="es-ES_tradnl"/>
        </w:rPr>
        <w:t xml:space="preserve">VEINTISIETE DE </w:t>
      </w:r>
      <w:r w:rsidRPr="00A61A17">
        <w:rPr>
          <w:rFonts w:ascii="Book Antiqua" w:hAnsi="Book Antiqua" w:cstheme="majorHAnsi"/>
          <w:b/>
          <w:i/>
          <w:color w:val="auto"/>
          <w:sz w:val="22"/>
          <w:szCs w:val="22"/>
          <w:lang w:val="es-ES_tradnl"/>
        </w:rPr>
        <w:t xml:space="preserve">ENERO </w:t>
      </w:r>
      <w:bookmarkStart w:id="0" w:name="_Hlk124171675"/>
      <w:r w:rsidRPr="00A61A17">
        <w:rPr>
          <w:rFonts w:ascii="Book Antiqua" w:hAnsi="Book Antiqua" w:cstheme="majorHAnsi"/>
          <w:b/>
          <w:i/>
          <w:color w:val="auto"/>
          <w:sz w:val="22"/>
          <w:szCs w:val="22"/>
          <w:lang w:val="es-ES_tradnl"/>
        </w:rPr>
        <w:t xml:space="preserve">DEL AÑO DOS MIL </w:t>
      </w:r>
      <w:bookmarkEnd w:id="0"/>
      <w:r w:rsidRPr="00A61A17">
        <w:rPr>
          <w:rFonts w:ascii="Book Antiqua" w:hAnsi="Book Antiqua" w:cstheme="majorHAnsi"/>
          <w:b/>
          <w:i/>
          <w:color w:val="auto"/>
          <w:sz w:val="22"/>
          <w:szCs w:val="22"/>
          <w:lang w:val="es-ES_tradnl"/>
        </w:rPr>
        <w:t>VEINTITRÉS</w:t>
      </w:r>
      <w:r w:rsidRPr="00A61A17">
        <w:rPr>
          <w:rFonts w:ascii="Book Antiqua" w:hAnsi="Book Antiqua" w:cstheme="majorHAnsi"/>
          <w:i/>
          <w:color w:val="auto"/>
          <w:sz w:val="22"/>
          <w:szCs w:val="22"/>
          <w:lang w:val="es-ES_tradnl"/>
        </w:rPr>
        <w:t xml:space="preserve">, reunidos el Concejo Municipal en </w:t>
      </w:r>
      <w:r w:rsidRPr="00A61A17">
        <w:rPr>
          <w:rFonts w:ascii="Book Antiqua" w:hAnsi="Book Antiqua" w:cstheme="majorHAnsi"/>
          <w:b/>
          <w:i/>
          <w:color w:val="auto"/>
          <w:sz w:val="22"/>
          <w:szCs w:val="22"/>
          <w:lang w:val="es-ES_tradnl"/>
        </w:rPr>
        <w:t xml:space="preserve">SESIÓN </w:t>
      </w:r>
      <w:r w:rsidR="00187D74" w:rsidRPr="00A61A17">
        <w:rPr>
          <w:rFonts w:ascii="Book Antiqua" w:hAnsi="Book Antiqua" w:cstheme="majorHAnsi"/>
          <w:b/>
          <w:i/>
          <w:color w:val="auto"/>
          <w:sz w:val="22"/>
          <w:szCs w:val="22"/>
          <w:lang w:val="es-ES_tradnl"/>
        </w:rPr>
        <w:t>EXTRA</w:t>
      </w:r>
      <w:r w:rsidRPr="00A61A17">
        <w:rPr>
          <w:rFonts w:ascii="Book Antiqua" w:hAnsi="Book Antiqua" w:cstheme="majorHAnsi"/>
          <w:b/>
          <w:i/>
          <w:color w:val="auto"/>
          <w:sz w:val="22"/>
          <w:szCs w:val="22"/>
          <w:lang w:val="es-ES_tradnl"/>
        </w:rPr>
        <w:t xml:space="preserve">ORDINARIA, </w:t>
      </w:r>
      <w:r w:rsidRPr="00A61A17">
        <w:rPr>
          <w:rFonts w:ascii="Book Antiqua" w:hAnsi="Book Antiqua" w:cstheme="majorHAnsi"/>
          <w:i/>
          <w:color w:val="auto"/>
          <w:sz w:val="22"/>
          <w:szCs w:val="22"/>
          <w:lang w:val="es-ES_tradnl"/>
        </w:rPr>
        <w:t xml:space="preserve">convocada y presidida por el Alcalde Municipal Señor Omar Josué Pineda Rodríguez, con la presencia del Síndico Municipal, Lic. José Gilberto Álvarez Pérez, y con la asistencia de los </w:t>
      </w:r>
      <w:r w:rsidRPr="00A61A17">
        <w:rPr>
          <w:rFonts w:ascii="Book Antiqua" w:hAnsi="Book Antiqua" w:cstheme="majorHAnsi"/>
          <w:b/>
          <w:i/>
          <w:color w:val="auto"/>
          <w:sz w:val="22"/>
          <w:szCs w:val="22"/>
          <w:lang w:val="es-ES_tradnl"/>
        </w:rPr>
        <w:t>Regidores Propietarios</w:t>
      </w:r>
      <w:r w:rsidRPr="00A61A17">
        <w:rPr>
          <w:rFonts w:ascii="Book Antiqua" w:hAnsi="Book Antiqua" w:cstheme="majorHAnsi"/>
          <w:i/>
          <w:color w:val="auto"/>
          <w:sz w:val="22"/>
          <w:szCs w:val="22"/>
          <w:lang w:val="es-ES_tradnl"/>
        </w:rPr>
        <w:t xml:space="preserve"> del primero al sexto en su orden: Sr. Víctor Manuel Ramírez Martínez, Primer Regidor Propietario; Sra. Delmy Jeanette González Deras, Segunda Regidora Propietaria; Sra. Claudia del Carmen González González, Tercera Regidora Propietaria; Sra. Margarita Reyna Pérez Jirón, Cuarta Regidora Propietaria; Sra. Alba Maritza Juárez de Torres, Quinta Regidora Propietaria; Sra. Maritza del Carmen Lovos Crespín, Sexta Regidora Propietaria; </w:t>
      </w:r>
      <w:r w:rsidRPr="00A61A17">
        <w:rPr>
          <w:rFonts w:ascii="Book Antiqua" w:hAnsi="Book Antiqua" w:cstheme="majorHAnsi"/>
          <w:b/>
          <w:i/>
          <w:color w:val="auto"/>
          <w:sz w:val="22"/>
          <w:szCs w:val="22"/>
          <w:lang w:val="es-ES_tradnl"/>
        </w:rPr>
        <w:t>Regidores Suplentes</w:t>
      </w:r>
      <w:r w:rsidRPr="00A61A17">
        <w:rPr>
          <w:rFonts w:ascii="Book Antiqua" w:hAnsi="Book Antiqua" w:cstheme="majorHAnsi"/>
          <w:i/>
          <w:color w:val="auto"/>
          <w:sz w:val="22"/>
          <w:szCs w:val="22"/>
          <w:lang w:val="es-ES_tradnl"/>
        </w:rPr>
        <w:t xml:space="preserve"> del primero al cuarto en su orden: Sr. Israel Antonio Pérez López, Primer Regidor Suplente; Sr. Sarbelio Valentín Callejas Monge, Segundo Regidor Suplente; Sr. José Tomas Sánchez García, Tercer Regidor Suplente; Lic. Oscar Armando Díaz</w:t>
      </w:r>
      <w:r w:rsidR="00635449" w:rsidRPr="00A61A17">
        <w:rPr>
          <w:rFonts w:ascii="Book Antiqua" w:hAnsi="Book Antiqua" w:cstheme="majorHAnsi"/>
          <w:i/>
          <w:color w:val="auto"/>
          <w:sz w:val="22"/>
          <w:szCs w:val="22"/>
          <w:lang w:val="es-ES_tradnl"/>
        </w:rPr>
        <w:t xml:space="preserve"> Mejía</w:t>
      </w:r>
      <w:r w:rsidRPr="00A61A17">
        <w:rPr>
          <w:rFonts w:ascii="Book Antiqua" w:hAnsi="Book Antiqua" w:cstheme="majorHAnsi"/>
          <w:i/>
          <w:color w:val="auto"/>
          <w:sz w:val="22"/>
          <w:szCs w:val="22"/>
          <w:lang w:val="es-ES_tradnl"/>
        </w:rPr>
        <w:t>, Cuarto Regidor Suplente; con la asistencia del Secretario Municipal de Actuaciones Ad-honorem Lic. Wilber Rixiery Moz Castellanos.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085F8BA9" w14:textId="7E841AE2" w:rsidR="00187D74" w:rsidRPr="00A61A17" w:rsidRDefault="00D713EF" w:rsidP="00D713EF">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b/>
          <w:i/>
          <w:color w:val="auto"/>
          <w:sz w:val="22"/>
          <w:szCs w:val="22"/>
          <w:u w:val="single"/>
          <w:lang w:val="es-ES_tradnl"/>
        </w:rPr>
        <w:t>ACUERDO NÚMERO UNO.</w:t>
      </w:r>
      <w:r w:rsidRPr="00A61A17">
        <w:rPr>
          <w:rFonts w:ascii="Book Antiqua" w:hAnsi="Book Antiqua" w:cstheme="majorHAnsi"/>
          <w:i/>
          <w:color w:val="auto"/>
          <w:sz w:val="22"/>
          <w:szCs w:val="22"/>
          <w:lang w:val="es-ES_tradnl"/>
        </w:rPr>
        <w:t xml:space="preserve"> – </w:t>
      </w:r>
      <w:r w:rsidR="00187D74" w:rsidRPr="00A61A17">
        <w:rPr>
          <w:rFonts w:ascii="Book Antiqua" w:hAnsi="Book Antiqua" w:cstheme="majorHAnsi"/>
          <w:b/>
          <w:bCs/>
          <w:i/>
          <w:color w:val="auto"/>
          <w:sz w:val="22"/>
          <w:szCs w:val="22"/>
          <w:lang w:val="es-ES_tradnl"/>
        </w:rPr>
        <w:t>DECRETO Nº. UNO</w:t>
      </w:r>
    </w:p>
    <w:p w14:paraId="671F2355"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r w:rsidRPr="00A61A17">
        <w:rPr>
          <w:rFonts w:ascii="Book Antiqua" w:hAnsi="Book Antiqua" w:cstheme="majorHAnsi"/>
          <w:b/>
          <w:bCs/>
          <w:i/>
          <w:color w:val="auto"/>
          <w:sz w:val="22"/>
          <w:szCs w:val="22"/>
          <w:lang w:val="es-ES_tradnl"/>
        </w:rPr>
        <w:t>EL CONCEJO MUNICIPAL DE EL CARMEN, DEPARTAMENTO DE CUSCATLÁN CONSIDERANDO:</w:t>
      </w:r>
    </w:p>
    <w:p w14:paraId="309B72A9" w14:textId="77777777" w:rsidR="009628AC" w:rsidRPr="00A61A17" w:rsidRDefault="009628AC" w:rsidP="009628AC">
      <w:pPr>
        <w:pStyle w:val="Prrafodelista"/>
        <w:numPr>
          <w:ilvl w:val="0"/>
          <w:numId w:val="9"/>
        </w:num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Que, de conformidad con lo dispuesto en el artículo 204 numerales 1, 3 y 5 de la Constitución y el artículo 3 numerales 3 y 5, del Código Municipal, constituye una facultad de los municipios, en el ejercicio de su autonomía, la de emitir y decretar ordenanzas y reglamentos locales para regular las materias de su competencia, asimismo prescribe la facultad del Municipio para crear, modificar y suprimir tasas en asuntos de su competencia; correspondiéndole al Concejo Municipal la función normativa, que la ejerce a través de sus Ordenanzas con rango de Ley.</w:t>
      </w:r>
    </w:p>
    <w:p w14:paraId="568A7DC2" w14:textId="77777777" w:rsidR="009628AC" w:rsidRPr="00A61A17" w:rsidRDefault="009628AC" w:rsidP="009628AC">
      <w:pPr>
        <w:pStyle w:val="Prrafodelista"/>
        <w:numPr>
          <w:ilvl w:val="0"/>
          <w:numId w:val="9"/>
        </w:num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Que, los Municipios por medio de sus Concejos Municipales al tener la facultad de crear tasas, también a través de una Ordenanza puede dispensar el pago de los intereses y multas, provenientes de deudas con el Municipio, por el impago de tasas.</w:t>
      </w:r>
    </w:p>
    <w:p w14:paraId="1A075671" w14:textId="77777777" w:rsidR="009628AC" w:rsidRPr="00A61A17" w:rsidRDefault="009628AC" w:rsidP="009628AC">
      <w:pPr>
        <w:pStyle w:val="Prrafodelista"/>
        <w:numPr>
          <w:ilvl w:val="0"/>
          <w:numId w:val="9"/>
        </w:num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Que, la Ordenanza de Exención, su resultado es de alto impacto ya que, por medio de su aplicación, se logra obtener una recaudación de la deuda flotante en concepto de mora producto de los tributos municipales, lo que hace conveniente nuevamente habilitar su existencia a efecto de nivelar las finanzas municipales por el bajo nivel de percepción de fondos provenientes del Estado y propios.</w:t>
      </w:r>
    </w:p>
    <w:p w14:paraId="268BF429" w14:textId="77777777" w:rsidR="009628AC" w:rsidRPr="00A61A17" w:rsidRDefault="009628AC" w:rsidP="009628AC">
      <w:pPr>
        <w:pStyle w:val="Prrafodelista"/>
        <w:numPr>
          <w:ilvl w:val="0"/>
          <w:numId w:val="9"/>
        </w:num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 xml:space="preserve">Que con el objeto de brindar a sus contribuyentes las mayores facilidades para el cumplimiento de sus obligaciones formales y sustanciales e incentivar una conducta de pago en los mismos y lograr así un mayor ingreso en las arcas municipales que le permita al municipio cumplir con sus obligaciones en beneficio de sus habitantes; y a la vez, contribuir a continuar mejorando la situación económica de aquellas familias de escasos recursos, pequeñas y medianas empresas de este Municipio, es menester y propicio emitir </w:t>
      </w:r>
      <w:r w:rsidRPr="00A61A17">
        <w:rPr>
          <w:rFonts w:ascii="Book Antiqua" w:hAnsi="Book Antiqua" w:cstheme="majorHAnsi"/>
          <w:i/>
          <w:color w:val="auto"/>
          <w:sz w:val="22"/>
          <w:szCs w:val="22"/>
          <w:lang w:val="es-ES_tradnl"/>
        </w:rPr>
        <w:lastRenderedPageBreak/>
        <w:t>la presente Ordenanza Transitoria de Amnistía Tributaria para la Exención de los Intereses y Multas Productos de las Tasas Municipales de la Alcaldía de El Carmen.</w:t>
      </w:r>
    </w:p>
    <w:p w14:paraId="4DA66E71"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p>
    <w:p w14:paraId="62228AD4" w14:textId="58FF1A72" w:rsidR="009628AC" w:rsidRPr="00A61A17" w:rsidRDefault="009628AC" w:rsidP="009628AC">
      <w:pPr>
        <w:spacing w:line="276" w:lineRule="auto"/>
        <w:jc w:val="both"/>
        <w:rPr>
          <w:rFonts w:ascii="Book Antiqua" w:hAnsi="Book Antiqua" w:cstheme="majorHAnsi"/>
          <w:b/>
          <w:bCs/>
          <w:i/>
          <w:color w:val="auto"/>
          <w:sz w:val="22"/>
          <w:szCs w:val="22"/>
          <w:lang w:val="es-ES_tradnl"/>
        </w:rPr>
      </w:pPr>
      <w:r w:rsidRPr="00A61A17">
        <w:rPr>
          <w:rFonts w:ascii="Book Antiqua" w:hAnsi="Book Antiqua" w:cstheme="majorHAnsi"/>
          <w:b/>
          <w:bCs/>
          <w:i/>
          <w:color w:val="auto"/>
          <w:sz w:val="22"/>
          <w:szCs w:val="22"/>
          <w:lang w:val="es-ES_tradnl"/>
        </w:rPr>
        <w:t>POR TANTO,</w:t>
      </w:r>
    </w:p>
    <w:p w14:paraId="6234E139"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 xml:space="preserve">El Concejo Municipal de El Carmen, en uso de sus facultades constitucionales y legales, </w:t>
      </w:r>
      <w:r w:rsidRPr="00A61A17">
        <w:rPr>
          <w:rFonts w:ascii="Book Antiqua" w:hAnsi="Book Antiqua" w:cstheme="majorHAnsi"/>
          <w:b/>
          <w:bCs/>
          <w:i/>
          <w:color w:val="auto"/>
          <w:sz w:val="22"/>
          <w:szCs w:val="22"/>
          <w:lang w:val="es-ES_tradnl"/>
        </w:rPr>
        <w:t>DECRETA</w:t>
      </w:r>
      <w:r w:rsidRPr="00A61A17">
        <w:rPr>
          <w:rFonts w:ascii="Book Antiqua" w:hAnsi="Book Antiqua" w:cstheme="majorHAnsi"/>
          <w:i/>
          <w:color w:val="auto"/>
          <w:sz w:val="22"/>
          <w:szCs w:val="22"/>
          <w:lang w:val="es-ES_tradnl"/>
        </w:rPr>
        <w:t xml:space="preserve"> la siguiente:</w:t>
      </w:r>
    </w:p>
    <w:p w14:paraId="21B12B5D"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p>
    <w:p w14:paraId="24D95897"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r w:rsidRPr="00A61A17">
        <w:rPr>
          <w:rFonts w:ascii="Book Antiqua" w:hAnsi="Book Antiqua" w:cstheme="majorHAnsi"/>
          <w:b/>
          <w:bCs/>
          <w:i/>
          <w:color w:val="auto"/>
          <w:sz w:val="22"/>
          <w:szCs w:val="22"/>
          <w:lang w:val="es-ES_tradnl"/>
        </w:rPr>
        <w:t>ORDENANZA TRANSITORIA DE AMNISTÍA TRIBUTARIA PARA LA EXENCIÓN DE LOS INTERESES Y MULTAS PRODUCTO DE LAS TASAS MUNICIPALES DE EL CARMEN, DEPARTAMENTO DE CUSCATLÁN.</w:t>
      </w:r>
    </w:p>
    <w:p w14:paraId="41286F79"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p>
    <w:p w14:paraId="47494DE6"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r w:rsidRPr="00A61A17">
        <w:rPr>
          <w:rFonts w:ascii="Book Antiqua" w:hAnsi="Book Antiqua" w:cstheme="majorHAnsi"/>
          <w:b/>
          <w:bCs/>
          <w:i/>
          <w:color w:val="auto"/>
          <w:sz w:val="22"/>
          <w:szCs w:val="22"/>
          <w:lang w:val="es-ES_tradnl"/>
        </w:rPr>
        <w:t>Finalidad de la Ordenanza.</w:t>
      </w:r>
    </w:p>
    <w:p w14:paraId="623E3B55"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b/>
          <w:bCs/>
          <w:i/>
          <w:color w:val="auto"/>
          <w:sz w:val="22"/>
          <w:szCs w:val="22"/>
          <w:lang w:val="es-ES_tradnl"/>
        </w:rPr>
        <w:t>Art. 1.-</w:t>
      </w:r>
      <w:r w:rsidRPr="00A61A17">
        <w:rPr>
          <w:rFonts w:ascii="Book Antiqua" w:hAnsi="Book Antiqua" w:cstheme="majorHAnsi"/>
          <w:i/>
          <w:color w:val="auto"/>
          <w:sz w:val="22"/>
          <w:szCs w:val="22"/>
          <w:lang w:val="es-ES_tradnl"/>
        </w:rPr>
        <w:t xml:space="preserve"> La presente ordenanza tiene por finalidad reducir el índice de morosidad de las deudas tributarias y no tributarias en general y brindar beneficios a los contribuyentes en general.</w:t>
      </w:r>
    </w:p>
    <w:p w14:paraId="0877105D" w14:textId="77777777" w:rsidR="009628AC" w:rsidRPr="00A61A17" w:rsidRDefault="009628AC" w:rsidP="009628AC">
      <w:pPr>
        <w:spacing w:line="276" w:lineRule="auto"/>
        <w:ind w:firstLine="708"/>
        <w:jc w:val="both"/>
        <w:rPr>
          <w:rFonts w:ascii="Book Antiqua" w:hAnsi="Book Antiqua" w:cstheme="majorHAnsi"/>
          <w:i/>
          <w:color w:val="auto"/>
          <w:sz w:val="22"/>
          <w:szCs w:val="22"/>
          <w:lang w:val="es-ES_tradnl"/>
        </w:rPr>
      </w:pPr>
    </w:p>
    <w:p w14:paraId="5ABB6326"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r w:rsidRPr="00A61A17">
        <w:rPr>
          <w:rFonts w:ascii="Book Antiqua" w:hAnsi="Book Antiqua" w:cstheme="majorHAnsi"/>
          <w:b/>
          <w:bCs/>
          <w:i/>
          <w:color w:val="auto"/>
          <w:sz w:val="22"/>
          <w:szCs w:val="22"/>
          <w:lang w:val="es-ES_tradnl"/>
        </w:rPr>
        <w:t>Vigencia del Beneficio.</w:t>
      </w:r>
    </w:p>
    <w:p w14:paraId="61D79ED1"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b/>
          <w:bCs/>
          <w:i/>
          <w:color w:val="auto"/>
          <w:sz w:val="22"/>
          <w:szCs w:val="22"/>
          <w:lang w:val="es-ES_tradnl"/>
        </w:rPr>
        <w:t>Art. 2.-</w:t>
      </w:r>
      <w:r w:rsidRPr="00A61A17">
        <w:rPr>
          <w:rFonts w:ascii="Book Antiqua" w:hAnsi="Book Antiqua" w:cstheme="majorHAnsi"/>
          <w:i/>
          <w:color w:val="auto"/>
          <w:sz w:val="22"/>
          <w:szCs w:val="22"/>
          <w:lang w:val="es-ES_tradnl"/>
        </w:rPr>
        <w:t xml:space="preserve"> Concédase el periodo de la presente ordenanza la duración de </w:t>
      </w:r>
      <w:r w:rsidRPr="00A61A17">
        <w:rPr>
          <w:rFonts w:ascii="Book Antiqua" w:hAnsi="Book Antiqua" w:cstheme="majorHAnsi"/>
          <w:b/>
          <w:bCs/>
          <w:i/>
          <w:color w:val="auto"/>
          <w:sz w:val="22"/>
          <w:szCs w:val="22"/>
          <w:lang w:val="es-ES_tradnl"/>
        </w:rPr>
        <w:t>90 días hábiles desde su entrada en vigencia</w:t>
      </w:r>
      <w:r w:rsidRPr="00A61A17">
        <w:rPr>
          <w:rFonts w:ascii="Book Antiqua" w:hAnsi="Book Antiqua" w:cstheme="majorHAnsi"/>
          <w:i/>
          <w:color w:val="auto"/>
          <w:sz w:val="22"/>
          <w:szCs w:val="22"/>
          <w:lang w:val="es-ES_tradnl"/>
        </w:rPr>
        <w:t>, para que las personas naturales y/o jurídicas que se encuentren interesadas en pagar sus deudas tributarias, puedan cancelar sus deudas por tasas, con este Municipio, obteniendo una exención en el recargo de los intereses moratorios generados en dicho concepto, y la exención de la multa en todas las tasas. En el caso de la Administración de Mercados y el Comercio en la Vía Pública, los beneficios de esta ordenanza se aplicarán únicamente a las personas naturales.</w:t>
      </w:r>
    </w:p>
    <w:p w14:paraId="27F494FD"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p>
    <w:p w14:paraId="6D047850"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r w:rsidRPr="00A61A17">
        <w:rPr>
          <w:rFonts w:ascii="Book Antiqua" w:hAnsi="Book Antiqua" w:cstheme="majorHAnsi"/>
          <w:b/>
          <w:bCs/>
          <w:i/>
          <w:color w:val="auto"/>
          <w:sz w:val="22"/>
          <w:szCs w:val="22"/>
          <w:lang w:val="es-ES_tradnl"/>
        </w:rPr>
        <w:t>Sujetos de aplicación.</w:t>
      </w:r>
    </w:p>
    <w:p w14:paraId="5F887D10"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b/>
          <w:bCs/>
          <w:i/>
          <w:color w:val="auto"/>
          <w:sz w:val="22"/>
          <w:szCs w:val="22"/>
          <w:lang w:val="es-ES_tradnl"/>
        </w:rPr>
        <w:t>Art. 3.-</w:t>
      </w:r>
      <w:r w:rsidRPr="00A61A17">
        <w:rPr>
          <w:rFonts w:ascii="Book Antiqua" w:hAnsi="Book Antiqua" w:cstheme="majorHAnsi"/>
          <w:i/>
          <w:color w:val="auto"/>
          <w:sz w:val="22"/>
          <w:szCs w:val="22"/>
          <w:lang w:val="es-ES_tradnl"/>
        </w:rPr>
        <w:t xml:space="preserve"> Podrán acogerse a los beneficios establecidos en el artículo 2 de la presente ordenanza, las personas naturales o jurídicas que se encuentren en cualquiera de las siguientes condiciones:</w:t>
      </w:r>
    </w:p>
    <w:p w14:paraId="1232AD26" w14:textId="77777777" w:rsidR="009628AC" w:rsidRPr="00A61A17" w:rsidRDefault="009628AC" w:rsidP="009628AC">
      <w:pPr>
        <w:pStyle w:val="Prrafodelista"/>
        <w:numPr>
          <w:ilvl w:val="0"/>
          <w:numId w:val="10"/>
        </w:num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Aquellos contribuyentes que, estando registrados en el municipio, se encuentren en situación de mora en el pago de las tasas.</w:t>
      </w:r>
    </w:p>
    <w:p w14:paraId="3D295895" w14:textId="77777777" w:rsidR="009628AC" w:rsidRPr="00A61A17" w:rsidRDefault="009628AC" w:rsidP="009628AC">
      <w:pPr>
        <w:pStyle w:val="Prrafodelista"/>
        <w:numPr>
          <w:ilvl w:val="0"/>
          <w:numId w:val="10"/>
        </w:num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Los contribuyentes que habiendo obtenido resolución favorable para pagar la deuda tributaria por tasas y hayan suscrito el correspondiente plan de pago, deberán solicitar la anulación de dicho plan de pago, para gozar de este beneficio, pudiendo pagar la totalidad de la deuda o realizar pagos parciales durante el plazo concedido en la presente ordenanza.</w:t>
      </w:r>
    </w:p>
    <w:p w14:paraId="7638146F" w14:textId="77777777" w:rsidR="009628AC" w:rsidRPr="00A61A17" w:rsidRDefault="009628AC" w:rsidP="009628AC">
      <w:pPr>
        <w:pStyle w:val="Prrafodelista"/>
        <w:numPr>
          <w:ilvl w:val="0"/>
          <w:numId w:val="10"/>
        </w:num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Podrán acogerse al presente decreto, los contribuyentes que se les haya iniciado proceso de cobro administrativo o judicial por tasas, siempre que no se les haya dictado sentencia judicial firme en proceso ejecutivo por parte de la municipalidad.</w:t>
      </w:r>
    </w:p>
    <w:p w14:paraId="6074CB07" w14:textId="77777777" w:rsidR="009628AC" w:rsidRPr="00A61A17" w:rsidRDefault="009628AC" w:rsidP="009628AC">
      <w:pPr>
        <w:pStyle w:val="Prrafodelista"/>
        <w:numPr>
          <w:ilvl w:val="0"/>
          <w:numId w:val="10"/>
        </w:num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Aquellos contribuyentes que hayan incumplido el plan de pago suscrito con la Municipalidad y se favorezcan con el beneficio otorgado en la presente ordenanza.</w:t>
      </w:r>
    </w:p>
    <w:p w14:paraId="7B9DAA2D" w14:textId="77777777" w:rsidR="009628AC" w:rsidRPr="00A61A17" w:rsidRDefault="009628AC" w:rsidP="009628AC">
      <w:pPr>
        <w:pStyle w:val="Prrafodelista"/>
        <w:numPr>
          <w:ilvl w:val="0"/>
          <w:numId w:val="10"/>
        </w:num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Aquellos contribuyentes que hayan interpuesto recurso de revisión, apelación y/o hayan iniciado Juicio contencioso Administrativo, previo desistimiento de dichos recursos y juicio.</w:t>
      </w:r>
    </w:p>
    <w:p w14:paraId="6A9669FF" w14:textId="77777777" w:rsidR="009628AC" w:rsidRPr="00A61A17" w:rsidRDefault="009628AC" w:rsidP="009628AC">
      <w:pPr>
        <w:pStyle w:val="Prrafodelista"/>
        <w:numPr>
          <w:ilvl w:val="0"/>
          <w:numId w:val="10"/>
        </w:num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Podrán acogerse a la presente Ordenanza aquellas instituciones de gobierno que no hayan podido cancelar sus contribuciones en el tiempo de vigencia de la ordenanza, debido a la falta de liberación de fondos, esto con la debida comprobación que el proceso lo iniciaron dentro de una ordenanza de exención de intereses y multas que no exceda de seis meses de la entrada en vigencia de esta Ordenanza.</w:t>
      </w:r>
    </w:p>
    <w:p w14:paraId="276D39F9" w14:textId="77777777" w:rsidR="009628AC" w:rsidRPr="00A61A17" w:rsidRDefault="009628AC" w:rsidP="009628AC">
      <w:pPr>
        <w:pStyle w:val="Prrafodelista"/>
        <w:numPr>
          <w:ilvl w:val="0"/>
          <w:numId w:val="10"/>
        </w:num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También podrán acogerse a dicho decreto los contribuyentes que han presentado o están al día en las declaraciones de sus activos (balances, estados financieros), inventarios.</w:t>
      </w:r>
    </w:p>
    <w:p w14:paraId="2455D33C"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p>
    <w:p w14:paraId="0B956D1B"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r w:rsidRPr="00A61A17">
        <w:rPr>
          <w:rFonts w:ascii="Book Antiqua" w:hAnsi="Book Antiqua" w:cstheme="majorHAnsi"/>
          <w:b/>
          <w:bCs/>
          <w:i/>
          <w:color w:val="auto"/>
          <w:sz w:val="22"/>
          <w:szCs w:val="22"/>
          <w:lang w:val="es-ES_tradnl"/>
        </w:rPr>
        <w:t>Sujetos de aplicación en la Administración General de Cementerios.</w:t>
      </w:r>
    </w:p>
    <w:p w14:paraId="7E876325"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b/>
          <w:bCs/>
          <w:i/>
          <w:color w:val="auto"/>
          <w:sz w:val="22"/>
          <w:szCs w:val="22"/>
          <w:lang w:val="es-ES_tradnl"/>
        </w:rPr>
        <w:t>Art. 4.-</w:t>
      </w:r>
      <w:r w:rsidRPr="00A61A17">
        <w:rPr>
          <w:rFonts w:ascii="Book Antiqua" w:hAnsi="Book Antiqua" w:cstheme="majorHAnsi"/>
          <w:i/>
          <w:color w:val="auto"/>
          <w:sz w:val="22"/>
          <w:szCs w:val="22"/>
          <w:lang w:val="es-ES_tradnl"/>
        </w:rPr>
        <w:t xml:space="preserve"> Podrán acogerse a los beneficios establecidos en el artículo 2 de la presente ordenanza los contribuyentes sean éstos personas naturales o jurídicas de la Administración General de Cementerios y que se encuentren en la siguiente condición:</w:t>
      </w:r>
    </w:p>
    <w:p w14:paraId="2AF38771"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Aquellos contribuyentes que, estando registrados en el sistema de cuentas de la Administración General de Cementerios, se encuentren en situación de mora en el pago de las tasas por servicios prestados a los puestos de perpetuidad y temporales, la autorización de funcionamiento de cementerios particulares y de funerarias.</w:t>
      </w:r>
    </w:p>
    <w:p w14:paraId="5B9FBD69"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p>
    <w:p w14:paraId="1A324A4D"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r w:rsidRPr="00A61A17">
        <w:rPr>
          <w:rFonts w:ascii="Book Antiqua" w:hAnsi="Book Antiqua" w:cstheme="majorHAnsi"/>
          <w:b/>
          <w:bCs/>
          <w:i/>
          <w:color w:val="auto"/>
          <w:sz w:val="22"/>
          <w:szCs w:val="22"/>
          <w:lang w:val="es-ES_tradnl"/>
        </w:rPr>
        <w:t>Sujetos de aplicación de los y las Comerciantes en los Espacios Públicos.</w:t>
      </w:r>
    </w:p>
    <w:p w14:paraId="165927B2"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b/>
          <w:bCs/>
          <w:i/>
          <w:color w:val="auto"/>
          <w:sz w:val="22"/>
          <w:szCs w:val="22"/>
          <w:lang w:val="es-ES_tradnl"/>
        </w:rPr>
        <w:t>Art. 5.-</w:t>
      </w:r>
      <w:r w:rsidRPr="00A61A17">
        <w:rPr>
          <w:rFonts w:ascii="Book Antiqua" w:hAnsi="Book Antiqua" w:cstheme="majorHAnsi"/>
          <w:i/>
          <w:color w:val="auto"/>
          <w:sz w:val="22"/>
          <w:szCs w:val="22"/>
          <w:lang w:val="es-ES_tradnl"/>
        </w:rPr>
        <w:t xml:space="preserve"> Podrán acogerse a los beneficios establecidos en el artículo 2 de la presente ordenanza las personas naturales que comercian en los espacios públicos y que se encuentren en la siguiente condición:</w:t>
      </w:r>
    </w:p>
    <w:p w14:paraId="75548238"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Aquellos contribuyentes que estando registrados en la municipalidad y no han cumplido debidamente con el pago correspondiente y que a la fecha están en situación de morosidad y se les haya generado un recargo de intereses y multas.</w:t>
      </w:r>
    </w:p>
    <w:p w14:paraId="4614A524"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p>
    <w:p w14:paraId="2110273A"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r w:rsidRPr="00A61A17">
        <w:rPr>
          <w:rFonts w:ascii="Book Antiqua" w:hAnsi="Book Antiqua" w:cstheme="majorHAnsi"/>
          <w:b/>
          <w:bCs/>
          <w:i/>
          <w:color w:val="auto"/>
          <w:sz w:val="22"/>
          <w:szCs w:val="22"/>
          <w:lang w:val="es-ES_tradnl"/>
        </w:rPr>
        <w:t>Otros casos de aplicación.</w:t>
      </w:r>
    </w:p>
    <w:p w14:paraId="03BDAB0C"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b/>
          <w:bCs/>
          <w:i/>
          <w:color w:val="auto"/>
          <w:sz w:val="22"/>
          <w:szCs w:val="22"/>
          <w:lang w:val="es-ES_tradnl"/>
        </w:rPr>
        <w:t>Art. 6.-</w:t>
      </w:r>
      <w:r w:rsidRPr="00A61A17">
        <w:rPr>
          <w:rFonts w:ascii="Book Antiqua" w:hAnsi="Book Antiqua" w:cstheme="majorHAnsi"/>
          <w:i/>
          <w:color w:val="auto"/>
          <w:sz w:val="22"/>
          <w:szCs w:val="22"/>
          <w:lang w:val="es-ES_tradnl"/>
        </w:rPr>
        <w:t xml:space="preserve"> Los contribuyentes, cuya capacidad económica no permita el pago total de lo adeudado a la municipalidad en concepto de tasas, podrán acceder a planes de pago de acuerdo a su capacidad económica y gozarán de los beneficios de esta ordenanza.</w:t>
      </w:r>
    </w:p>
    <w:p w14:paraId="1E57B012"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p>
    <w:p w14:paraId="250A6BAC"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Para obtener el beneficio que establece el inciso anterior, se deberá de suscribir un Plan de pago entre la Municipalidad y el Contribuyente; el cual debe efectuarse dentro del plazo de vigencia de esta ordenanza y pagar de inmediato la primera cuota.</w:t>
      </w:r>
    </w:p>
    <w:p w14:paraId="1BD163C1"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p>
    <w:p w14:paraId="4AEC946A"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 xml:space="preserve">Los planes de pago a los que se refiere este artículo no podrán ser </w:t>
      </w:r>
      <w:r w:rsidRPr="00A61A17">
        <w:rPr>
          <w:rFonts w:ascii="Book Antiqua" w:hAnsi="Book Antiqua" w:cstheme="majorHAnsi"/>
          <w:b/>
          <w:bCs/>
          <w:i/>
          <w:color w:val="auto"/>
          <w:sz w:val="22"/>
          <w:szCs w:val="22"/>
          <w:lang w:val="es-ES_tradnl"/>
        </w:rPr>
        <w:t>mayores de seis meses.</w:t>
      </w:r>
      <w:r w:rsidRPr="00A61A17">
        <w:rPr>
          <w:rFonts w:ascii="Book Antiqua" w:hAnsi="Book Antiqua" w:cstheme="majorHAnsi"/>
          <w:i/>
          <w:color w:val="auto"/>
          <w:sz w:val="22"/>
          <w:szCs w:val="22"/>
          <w:lang w:val="es-ES_tradnl"/>
        </w:rPr>
        <w:t xml:space="preserve"> Dichos plazos estarán directamente relacionados al monto adeudado y la cuota mensual que se pacte mediante plan de pago. </w:t>
      </w:r>
    </w:p>
    <w:p w14:paraId="71069446"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p>
    <w:p w14:paraId="2473459B"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r w:rsidRPr="00A61A17">
        <w:rPr>
          <w:rFonts w:ascii="Book Antiqua" w:hAnsi="Book Antiqua" w:cstheme="majorHAnsi"/>
          <w:b/>
          <w:bCs/>
          <w:i/>
          <w:color w:val="auto"/>
          <w:sz w:val="22"/>
          <w:szCs w:val="22"/>
          <w:lang w:val="es-ES_tradnl"/>
        </w:rPr>
        <w:t>Cesación del beneficio.</w:t>
      </w:r>
    </w:p>
    <w:p w14:paraId="75420EAB"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b/>
          <w:bCs/>
          <w:i/>
          <w:color w:val="auto"/>
          <w:sz w:val="22"/>
          <w:szCs w:val="22"/>
          <w:lang w:val="es-ES_tradnl"/>
        </w:rPr>
        <w:t>Art. 7.-</w:t>
      </w:r>
      <w:r w:rsidRPr="00A61A17">
        <w:rPr>
          <w:rFonts w:ascii="Book Antiqua" w:hAnsi="Book Antiqua" w:cstheme="majorHAnsi"/>
          <w:i/>
          <w:color w:val="auto"/>
          <w:sz w:val="22"/>
          <w:szCs w:val="22"/>
          <w:lang w:val="es-ES_tradnl"/>
        </w:rPr>
        <w:t xml:space="preserve"> Los beneficios de este decreto cesarán de inmediato en el caso de incumplimiento de dos cuotas del plan de pagos pactado con el municipio, no aplica si el pago de la segunda cuota incumplida se realiza durante el mes calendario de su vencimiento, y en consecuencia se hace exigible la totalidad de la obligación para las cantidades que faltare por cumplirse, excepto en caso de fuerza mayor o caso fortuito, esto deberá ser calificado por el Concejo Municipal.</w:t>
      </w:r>
    </w:p>
    <w:p w14:paraId="02399B47"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p>
    <w:p w14:paraId="7706AEA8"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r w:rsidRPr="00A61A17">
        <w:rPr>
          <w:rFonts w:ascii="Book Antiqua" w:hAnsi="Book Antiqua" w:cstheme="majorHAnsi"/>
          <w:b/>
          <w:bCs/>
          <w:i/>
          <w:color w:val="auto"/>
          <w:sz w:val="22"/>
          <w:szCs w:val="22"/>
          <w:lang w:val="es-ES_tradnl"/>
        </w:rPr>
        <w:t>Excepciones.</w:t>
      </w:r>
    </w:p>
    <w:p w14:paraId="56676841"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13348F">
        <w:rPr>
          <w:rFonts w:ascii="Book Antiqua" w:hAnsi="Book Antiqua" w:cstheme="majorHAnsi"/>
          <w:b/>
          <w:bCs/>
          <w:i/>
          <w:color w:val="auto"/>
          <w:sz w:val="22"/>
          <w:szCs w:val="22"/>
          <w:lang w:val="es-ES_tradnl"/>
        </w:rPr>
        <w:t>Art. 8.-</w:t>
      </w:r>
      <w:r w:rsidRPr="00A61A17">
        <w:rPr>
          <w:rFonts w:ascii="Book Antiqua" w:hAnsi="Book Antiqua" w:cstheme="majorHAnsi"/>
          <w:i/>
          <w:color w:val="auto"/>
          <w:sz w:val="22"/>
          <w:szCs w:val="22"/>
          <w:lang w:val="es-ES_tradnl"/>
        </w:rPr>
        <w:t xml:space="preserve"> Los beneficios de esta Ordenanza no se aplicarán en el caso de las Contravenciones impuestas por la Unidad de Catastro.</w:t>
      </w:r>
    </w:p>
    <w:p w14:paraId="581774E1"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p>
    <w:p w14:paraId="16EBD1D4"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r w:rsidRPr="00A61A17">
        <w:rPr>
          <w:rFonts w:ascii="Book Antiqua" w:hAnsi="Book Antiqua" w:cstheme="majorHAnsi"/>
          <w:i/>
          <w:color w:val="auto"/>
          <w:sz w:val="22"/>
          <w:szCs w:val="22"/>
          <w:lang w:val="es-ES_tradnl"/>
        </w:rPr>
        <w:t xml:space="preserve"> </w:t>
      </w:r>
      <w:r w:rsidRPr="00A61A17">
        <w:rPr>
          <w:rFonts w:ascii="Book Antiqua" w:hAnsi="Book Antiqua" w:cstheme="majorHAnsi"/>
          <w:b/>
          <w:bCs/>
          <w:i/>
          <w:color w:val="auto"/>
          <w:sz w:val="22"/>
          <w:szCs w:val="22"/>
          <w:lang w:val="es-ES_tradnl"/>
        </w:rPr>
        <w:t>Forma de pago.</w:t>
      </w:r>
    </w:p>
    <w:p w14:paraId="6FDD6FAE"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b/>
          <w:bCs/>
          <w:i/>
          <w:color w:val="auto"/>
          <w:sz w:val="22"/>
          <w:szCs w:val="22"/>
          <w:lang w:val="es-ES_tradnl"/>
        </w:rPr>
        <w:t>Art. 9.-</w:t>
      </w:r>
      <w:r w:rsidRPr="00A61A17">
        <w:rPr>
          <w:rFonts w:ascii="Book Antiqua" w:hAnsi="Book Antiqua" w:cstheme="majorHAnsi"/>
          <w:i/>
          <w:color w:val="auto"/>
          <w:sz w:val="22"/>
          <w:szCs w:val="22"/>
          <w:lang w:val="es-ES_tradnl"/>
        </w:rPr>
        <w:t xml:space="preserve"> Los sujetos pasivos de la obligación tributaria podrán realizar su pago de forma total o parcial, siempre y cuando estos pagos se realicen en el plazo durante la vigencia de esta Ordenanza o los planes de pago formalizados durante su vigencia.</w:t>
      </w:r>
    </w:p>
    <w:p w14:paraId="1D1252DC"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Cuando los pagos fueren de manera parcial gozaran de los beneficios de esta ordenanza los montos en la proporción del abono realizado.</w:t>
      </w:r>
    </w:p>
    <w:p w14:paraId="63018415"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p>
    <w:p w14:paraId="4C350261"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r w:rsidRPr="00A61A17">
        <w:rPr>
          <w:rFonts w:ascii="Book Antiqua" w:hAnsi="Book Antiqua" w:cstheme="majorHAnsi"/>
          <w:b/>
          <w:bCs/>
          <w:i/>
          <w:color w:val="auto"/>
          <w:sz w:val="22"/>
          <w:szCs w:val="22"/>
          <w:lang w:val="es-ES_tradnl"/>
        </w:rPr>
        <w:t>Lugar de pago.</w:t>
      </w:r>
    </w:p>
    <w:p w14:paraId="28A91A88"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b/>
          <w:bCs/>
          <w:i/>
          <w:color w:val="auto"/>
          <w:sz w:val="22"/>
          <w:szCs w:val="22"/>
          <w:lang w:val="es-ES_tradnl"/>
        </w:rPr>
        <w:t>Art. 10.-</w:t>
      </w:r>
      <w:r w:rsidRPr="00A61A17">
        <w:rPr>
          <w:rFonts w:ascii="Book Antiqua" w:hAnsi="Book Antiqua" w:cstheme="majorHAnsi"/>
          <w:i/>
          <w:color w:val="auto"/>
          <w:sz w:val="22"/>
          <w:szCs w:val="22"/>
          <w:lang w:val="es-ES_tradnl"/>
        </w:rPr>
        <w:t xml:space="preserve"> Las personas naturales o jurídicas que estén interesadas en acogerse a los beneficios de intereses por tasas detalladas en la presente ordenanza, así como los del sistema de Administración de Mercados, de Administración General de Cementerios y los Comerciantes en los Espacios Públicos, deberán solicitar la exención en las oficinas respectivas y en la Unidad de Catastro. En cualquiera de los casos que preceden, el lugar para realizar el pago será la Colecturía de la Administración Municipal.</w:t>
      </w:r>
    </w:p>
    <w:p w14:paraId="7A6B9E55"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r w:rsidRPr="00A61A17">
        <w:rPr>
          <w:rFonts w:ascii="Book Antiqua" w:hAnsi="Book Antiqua" w:cstheme="majorHAnsi"/>
          <w:b/>
          <w:bCs/>
          <w:i/>
          <w:color w:val="auto"/>
          <w:sz w:val="22"/>
          <w:szCs w:val="22"/>
          <w:lang w:val="es-ES_tradnl"/>
        </w:rPr>
        <w:t>Vencimiento de plazo.</w:t>
      </w:r>
    </w:p>
    <w:p w14:paraId="0DA6154C"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b/>
          <w:bCs/>
          <w:i/>
          <w:color w:val="auto"/>
          <w:sz w:val="22"/>
          <w:szCs w:val="22"/>
          <w:lang w:val="es-ES_tradnl"/>
        </w:rPr>
        <w:t>Art. 11.-</w:t>
      </w:r>
      <w:r w:rsidRPr="00A61A17">
        <w:rPr>
          <w:rFonts w:ascii="Book Antiqua" w:hAnsi="Book Antiqua" w:cstheme="majorHAnsi"/>
          <w:i/>
          <w:color w:val="auto"/>
          <w:sz w:val="22"/>
          <w:szCs w:val="22"/>
          <w:lang w:val="es-ES_tradnl"/>
        </w:rPr>
        <w:t xml:space="preserve"> Vencido el plazo que establece esta ordenanza transitoria, cesará de inmediato y sin previo aviso los beneficios otorgados en la misma.</w:t>
      </w:r>
    </w:p>
    <w:p w14:paraId="378BC62C"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p>
    <w:p w14:paraId="083E5D5B"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r w:rsidRPr="00A61A17">
        <w:rPr>
          <w:rFonts w:ascii="Book Antiqua" w:hAnsi="Book Antiqua" w:cstheme="majorHAnsi"/>
          <w:b/>
          <w:bCs/>
          <w:i/>
          <w:color w:val="auto"/>
          <w:sz w:val="22"/>
          <w:szCs w:val="22"/>
          <w:lang w:val="es-ES_tradnl"/>
        </w:rPr>
        <w:t>Garantía de Petición y Respuesta.</w:t>
      </w:r>
    </w:p>
    <w:p w14:paraId="5B901797"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b/>
          <w:bCs/>
          <w:i/>
          <w:color w:val="auto"/>
          <w:sz w:val="22"/>
          <w:szCs w:val="22"/>
          <w:lang w:val="es-ES_tradnl"/>
        </w:rPr>
        <w:t>Art. 12.-</w:t>
      </w:r>
      <w:r w:rsidRPr="00A61A17">
        <w:rPr>
          <w:rFonts w:ascii="Book Antiqua" w:hAnsi="Book Antiqua" w:cstheme="majorHAnsi"/>
          <w:i/>
          <w:color w:val="auto"/>
          <w:sz w:val="22"/>
          <w:szCs w:val="22"/>
          <w:lang w:val="es-ES_tradnl"/>
        </w:rPr>
        <w:t xml:space="preserve"> A efecto de darle cumplimiento a la garantía de petición y respuesta, los contribuyentes que soliciten acogerse a la presente Ordenanza y no recibieren respuesta dentro del plazo de cinco días después de presentada la solicitud, no perderán su derecho a optar por los beneficios otorgados en la presente ordenanza si la solicitud hubiere sido presentada durante la vigencia de esta Ordenanza.  </w:t>
      </w:r>
    </w:p>
    <w:p w14:paraId="41E5EA26"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p>
    <w:p w14:paraId="2C549C08" w14:textId="77777777" w:rsidR="009628AC" w:rsidRPr="00A61A17" w:rsidRDefault="009628AC" w:rsidP="009628AC">
      <w:pPr>
        <w:spacing w:line="276" w:lineRule="auto"/>
        <w:jc w:val="both"/>
        <w:rPr>
          <w:rFonts w:ascii="Book Antiqua" w:hAnsi="Book Antiqua" w:cstheme="majorHAnsi"/>
          <w:b/>
          <w:bCs/>
          <w:i/>
          <w:color w:val="auto"/>
          <w:sz w:val="22"/>
          <w:szCs w:val="22"/>
          <w:lang w:val="es-ES_tradnl"/>
        </w:rPr>
      </w:pPr>
      <w:r w:rsidRPr="00A61A17">
        <w:rPr>
          <w:rFonts w:ascii="Book Antiqua" w:hAnsi="Book Antiqua" w:cstheme="majorHAnsi"/>
          <w:b/>
          <w:bCs/>
          <w:i/>
          <w:color w:val="auto"/>
          <w:sz w:val="22"/>
          <w:szCs w:val="22"/>
          <w:lang w:val="es-ES_tradnl"/>
        </w:rPr>
        <w:t>Vigencia</w:t>
      </w:r>
    </w:p>
    <w:p w14:paraId="44F2ABC8"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Art. 13.- La presente Ordenanza, entrará en vigencia ocho días después de su publicación en el Diario Oficial.</w:t>
      </w:r>
    </w:p>
    <w:p w14:paraId="2CB4FF6F" w14:textId="77777777" w:rsidR="009628AC" w:rsidRPr="00A61A17" w:rsidRDefault="009628AC" w:rsidP="009628AC">
      <w:pPr>
        <w:spacing w:line="276" w:lineRule="auto"/>
        <w:jc w:val="both"/>
        <w:rPr>
          <w:rFonts w:ascii="Book Antiqua" w:hAnsi="Book Antiqua" w:cstheme="majorHAnsi"/>
          <w:i/>
          <w:color w:val="auto"/>
          <w:sz w:val="22"/>
          <w:szCs w:val="22"/>
          <w:lang w:val="es-ES_tradnl"/>
        </w:rPr>
      </w:pPr>
    </w:p>
    <w:p w14:paraId="36B80EC1" w14:textId="77777777" w:rsidR="009628AC" w:rsidRDefault="009628AC" w:rsidP="009628AC">
      <w:pPr>
        <w:spacing w:line="276" w:lineRule="auto"/>
        <w:jc w:val="both"/>
        <w:rPr>
          <w:rFonts w:ascii="Book Antiqua" w:hAnsi="Book Antiqua" w:cstheme="majorHAnsi"/>
          <w:i/>
          <w:color w:val="auto"/>
          <w:sz w:val="22"/>
          <w:szCs w:val="22"/>
          <w:lang w:val="es-ES_tradnl"/>
        </w:rPr>
      </w:pPr>
      <w:r w:rsidRPr="00A61A17">
        <w:rPr>
          <w:rFonts w:ascii="Book Antiqua" w:hAnsi="Book Antiqua" w:cstheme="majorHAnsi"/>
          <w:i/>
          <w:color w:val="auto"/>
          <w:sz w:val="22"/>
          <w:szCs w:val="22"/>
          <w:lang w:val="es-ES_tradnl"/>
        </w:rPr>
        <w:t xml:space="preserve">Dado en Sala del Concejo del Municipio de El Carmen, a los veintisiete días del mes de enero de dos mil veintitrés. </w:t>
      </w:r>
    </w:p>
    <w:p w14:paraId="4DF81C3A" w14:textId="77777777" w:rsidR="0013348F" w:rsidRPr="00A61A17" w:rsidRDefault="0013348F" w:rsidP="009628AC">
      <w:pPr>
        <w:spacing w:line="276" w:lineRule="auto"/>
        <w:jc w:val="both"/>
        <w:rPr>
          <w:rFonts w:ascii="Book Antiqua" w:hAnsi="Book Antiqua" w:cstheme="majorHAnsi"/>
          <w:i/>
          <w:color w:val="auto"/>
          <w:sz w:val="22"/>
          <w:szCs w:val="22"/>
          <w:lang w:val="es-ES_tradnl"/>
        </w:rPr>
      </w:pPr>
    </w:p>
    <w:p w14:paraId="5FD9CC9F" w14:textId="50123701" w:rsidR="00193483" w:rsidRPr="00A61A17" w:rsidRDefault="00193483" w:rsidP="00193483">
      <w:pPr>
        <w:spacing w:line="276" w:lineRule="auto"/>
        <w:ind w:left="-90"/>
        <w:contextualSpacing/>
        <w:jc w:val="both"/>
        <w:rPr>
          <w:rFonts w:ascii="Book Antiqua" w:hAnsi="Book Antiqua" w:cstheme="majorHAnsi"/>
          <w:i/>
          <w:color w:val="auto"/>
          <w:sz w:val="22"/>
          <w:szCs w:val="22"/>
        </w:rPr>
      </w:pPr>
      <w:r w:rsidRPr="00A61A17">
        <w:rPr>
          <w:rFonts w:ascii="Book Antiqua" w:hAnsi="Book Antiqua" w:cstheme="majorHAnsi"/>
          <w:b/>
          <w:i/>
          <w:color w:val="auto"/>
          <w:sz w:val="22"/>
          <w:szCs w:val="22"/>
        </w:rPr>
        <w:t>POR TANTO</w:t>
      </w:r>
      <w:r w:rsidRPr="00A61A17">
        <w:rPr>
          <w:rFonts w:ascii="Book Antiqua" w:hAnsi="Book Antiqua" w:cstheme="majorHAnsi"/>
          <w:i/>
          <w:color w:val="auto"/>
          <w:sz w:val="22"/>
          <w:szCs w:val="22"/>
        </w:rPr>
        <w:t xml:space="preserve">, atendiendo lo dispuesto en la Constitución de la </w:t>
      </w:r>
      <w:r w:rsidR="003628E7" w:rsidRPr="00A61A17">
        <w:rPr>
          <w:rFonts w:ascii="Book Antiqua" w:hAnsi="Book Antiqua" w:cstheme="majorHAnsi"/>
          <w:i/>
          <w:color w:val="auto"/>
          <w:sz w:val="22"/>
          <w:szCs w:val="22"/>
        </w:rPr>
        <w:t>República</w:t>
      </w:r>
      <w:r w:rsidRPr="00A61A17">
        <w:rPr>
          <w:rFonts w:ascii="Book Antiqua" w:hAnsi="Book Antiqua" w:cstheme="majorHAnsi"/>
          <w:i/>
          <w:color w:val="auto"/>
          <w:sz w:val="22"/>
          <w:szCs w:val="22"/>
        </w:rPr>
        <w:t xml:space="preserve">, y Código Municipal respecto a las competencias y facultades que se les ha conferido, en uso de las mismas </w:t>
      </w:r>
      <w:r w:rsidR="00E558EF" w:rsidRPr="00A61A17">
        <w:rPr>
          <w:rFonts w:ascii="Book Antiqua" w:hAnsi="Book Antiqua" w:cstheme="majorHAnsi"/>
          <w:b/>
          <w:i/>
          <w:color w:val="auto"/>
          <w:sz w:val="22"/>
          <w:szCs w:val="22"/>
        </w:rPr>
        <w:t>ACUERDA POR UNANIMIDAD:</w:t>
      </w:r>
      <w:r w:rsidR="00E558EF" w:rsidRPr="00A61A17">
        <w:rPr>
          <w:rFonts w:ascii="Book Antiqua" w:hAnsi="Book Antiqua" w:cstheme="majorHAnsi"/>
          <w:i/>
          <w:color w:val="auto"/>
          <w:sz w:val="22"/>
          <w:szCs w:val="22"/>
        </w:rPr>
        <w:t xml:space="preserve"> </w:t>
      </w:r>
    </w:p>
    <w:p w14:paraId="418BDCC8" w14:textId="0A8CC32B" w:rsidR="00193483" w:rsidRPr="00A61A17" w:rsidRDefault="00193483" w:rsidP="003628E7">
      <w:pPr>
        <w:pStyle w:val="Prrafodelista"/>
        <w:numPr>
          <w:ilvl w:val="0"/>
          <w:numId w:val="11"/>
        </w:numPr>
        <w:spacing w:line="276" w:lineRule="auto"/>
        <w:jc w:val="both"/>
        <w:rPr>
          <w:rFonts w:ascii="Book Antiqua" w:hAnsi="Book Antiqua" w:cstheme="majorHAnsi"/>
          <w:b/>
          <w:bCs/>
          <w:i/>
          <w:color w:val="auto"/>
          <w:sz w:val="22"/>
          <w:szCs w:val="22"/>
          <w:lang w:val="es-ES_tradnl"/>
        </w:rPr>
      </w:pPr>
      <w:r w:rsidRPr="00A61A17">
        <w:rPr>
          <w:rFonts w:ascii="Book Antiqua" w:hAnsi="Book Antiqua" w:cstheme="majorHAnsi"/>
          <w:i/>
          <w:color w:val="auto"/>
          <w:sz w:val="22"/>
          <w:szCs w:val="22"/>
          <w:lang w:val="es-419"/>
        </w:rPr>
        <w:t xml:space="preserve">Publíquese en el Diario Oficial de la Imprenta Nacional la </w:t>
      </w:r>
      <w:r w:rsidR="003628E7" w:rsidRPr="00A61A17">
        <w:rPr>
          <w:rFonts w:ascii="Book Antiqua" w:hAnsi="Book Antiqua" w:cstheme="majorHAnsi"/>
          <w:b/>
          <w:bCs/>
          <w:i/>
          <w:color w:val="auto"/>
          <w:sz w:val="22"/>
          <w:szCs w:val="22"/>
          <w:lang w:val="es-ES_tradnl"/>
        </w:rPr>
        <w:t xml:space="preserve">ORDENANZA TRANSITORIA DE AMNISTÍA TRIBUTARIA PARA LA EXENCIÓN DE LOS INTERESES Y MULTAS PRODUCTO DE LAS TASAS MUNICIPALES DE EL CARMEN, DEPARTAMENTO DE CUSCATLÁN, </w:t>
      </w:r>
      <w:r w:rsidRPr="00A61A17">
        <w:rPr>
          <w:rFonts w:ascii="Book Antiqua" w:hAnsi="Book Antiqua" w:cstheme="majorHAnsi"/>
          <w:i/>
          <w:color w:val="auto"/>
          <w:sz w:val="22"/>
          <w:szCs w:val="22"/>
          <w:lang w:val="es-419"/>
        </w:rPr>
        <w:t>en el formato correspondiente.</w:t>
      </w:r>
    </w:p>
    <w:p w14:paraId="2DA1C983" w14:textId="77777777" w:rsidR="00193483" w:rsidRPr="00A61A17" w:rsidRDefault="00193483" w:rsidP="00193483">
      <w:pPr>
        <w:pStyle w:val="Prrafodelista"/>
        <w:numPr>
          <w:ilvl w:val="0"/>
          <w:numId w:val="11"/>
        </w:numPr>
        <w:spacing w:line="276" w:lineRule="auto"/>
        <w:ind w:left="629" w:hanging="357"/>
        <w:jc w:val="both"/>
        <w:rPr>
          <w:rFonts w:ascii="Book Antiqua" w:hAnsi="Book Antiqua" w:cstheme="majorHAnsi"/>
          <w:i/>
          <w:color w:val="auto"/>
          <w:sz w:val="22"/>
          <w:szCs w:val="22"/>
          <w:lang w:val="es-419"/>
        </w:rPr>
      </w:pPr>
      <w:r w:rsidRPr="00A61A17">
        <w:rPr>
          <w:rFonts w:ascii="Book Antiqua" w:hAnsi="Book Antiqua" w:cstheme="majorHAnsi"/>
          <w:i/>
          <w:color w:val="auto"/>
          <w:sz w:val="22"/>
          <w:szCs w:val="22"/>
          <w:lang w:val="es-419"/>
        </w:rPr>
        <w:t>Autorizar a la encargada de la UACI de esta municipalidad para que realice las órdenes de compra y pago correspondientes ante la Imprenta Nacional.</w:t>
      </w:r>
    </w:p>
    <w:p w14:paraId="32BC6CCC" w14:textId="77777777" w:rsidR="00193483" w:rsidRPr="00A61A17" w:rsidRDefault="00193483" w:rsidP="00193483">
      <w:pPr>
        <w:pStyle w:val="Prrafodelista"/>
        <w:numPr>
          <w:ilvl w:val="0"/>
          <w:numId w:val="11"/>
        </w:numPr>
        <w:spacing w:line="276" w:lineRule="auto"/>
        <w:jc w:val="both"/>
        <w:rPr>
          <w:rFonts w:ascii="Book Antiqua" w:hAnsi="Book Antiqua" w:cstheme="majorHAnsi"/>
          <w:i/>
          <w:color w:val="auto"/>
          <w:sz w:val="22"/>
          <w:szCs w:val="22"/>
          <w:lang w:val="es-419"/>
        </w:rPr>
      </w:pPr>
      <w:r w:rsidRPr="00A61A17">
        <w:rPr>
          <w:rFonts w:ascii="Book Antiqua" w:hAnsi="Book Antiqua" w:cstheme="majorHAnsi"/>
          <w:i/>
          <w:color w:val="auto"/>
          <w:sz w:val="22"/>
          <w:szCs w:val="22"/>
          <w:lang w:val="es-419"/>
        </w:rPr>
        <w:t>Solicitar a la encargada de Catastro de esta municipalidad para que haga los trámites correspondientes ante la Imprenta Nacional respecto a la cotización, envío del documento y pago correspondiente, y todos los inherentes para su publicación.</w:t>
      </w:r>
    </w:p>
    <w:p w14:paraId="6340668E" w14:textId="69085562" w:rsidR="008F63A8" w:rsidRPr="008F63A8" w:rsidRDefault="00193483" w:rsidP="008F63A8">
      <w:pPr>
        <w:pStyle w:val="Prrafodelista"/>
        <w:numPr>
          <w:ilvl w:val="0"/>
          <w:numId w:val="11"/>
        </w:numPr>
        <w:spacing w:line="276" w:lineRule="auto"/>
        <w:jc w:val="both"/>
        <w:rPr>
          <w:rFonts w:ascii="Book Antiqua" w:hAnsi="Book Antiqua" w:cstheme="majorHAnsi"/>
          <w:i/>
          <w:color w:val="auto"/>
          <w:sz w:val="22"/>
          <w:szCs w:val="22"/>
          <w:lang w:val="es-419"/>
        </w:rPr>
      </w:pPr>
      <w:r w:rsidRPr="00A61A17">
        <w:rPr>
          <w:rFonts w:ascii="Book Antiqua" w:hAnsi="Book Antiqua" w:cstheme="majorHAnsi"/>
          <w:i/>
          <w:color w:val="auto"/>
          <w:sz w:val="22"/>
          <w:szCs w:val="22"/>
          <w:lang w:val="es-419"/>
        </w:rPr>
        <w:t xml:space="preserve">Autorizar al Tesorero Municipal para que realice las erogaciones correspondientes de la Cuenta Corriente N°. 100-170-700218-2 ALCALDIA MUNICIPAL DE VILLA EL CARMEN, CUSCATLAN/FONDOS PROPIOS. </w:t>
      </w:r>
      <w:r w:rsidR="003628E7" w:rsidRPr="00A61A17">
        <w:rPr>
          <w:rFonts w:ascii="Book Antiqua" w:hAnsi="Book Antiqua" w:cstheme="majorHAnsi"/>
          <w:b/>
          <w:i/>
          <w:color w:val="auto"/>
          <w:sz w:val="22"/>
          <w:szCs w:val="22"/>
        </w:rPr>
        <w:t>Certifíquese y comuníquese. –</w:t>
      </w:r>
    </w:p>
    <w:p w14:paraId="37CEDF26" w14:textId="4796FBDB" w:rsidR="008F63A8" w:rsidRPr="00202BD1" w:rsidRDefault="008F63A8" w:rsidP="008F63A8">
      <w:pPr>
        <w:spacing w:line="276" w:lineRule="auto"/>
        <w:jc w:val="both"/>
        <w:rPr>
          <w:rFonts w:ascii="Book Antiqua" w:hAnsi="Book Antiqua" w:cstheme="majorHAnsi"/>
          <w:b/>
          <w:i/>
          <w:color w:val="auto"/>
          <w:sz w:val="22"/>
          <w:szCs w:val="22"/>
        </w:rPr>
      </w:pPr>
      <w:r w:rsidRPr="00202BD1">
        <w:rPr>
          <w:rFonts w:ascii="Book Antiqua" w:hAnsi="Book Antiqua" w:cstheme="majorHAnsi"/>
          <w:b/>
          <w:i/>
          <w:color w:val="auto"/>
          <w:sz w:val="22"/>
          <w:szCs w:val="22"/>
          <w:u w:val="single"/>
        </w:rPr>
        <w:t xml:space="preserve">ACUERDO NÚMERO </w:t>
      </w:r>
      <w:r>
        <w:rPr>
          <w:rFonts w:ascii="Book Antiqua" w:hAnsi="Book Antiqua" w:cstheme="majorHAnsi"/>
          <w:b/>
          <w:i/>
          <w:color w:val="auto"/>
          <w:sz w:val="22"/>
          <w:szCs w:val="22"/>
          <w:u w:val="single"/>
        </w:rPr>
        <w:t>DOS</w:t>
      </w:r>
      <w:r w:rsidRPr="00202BD1">
        <w:rPr>
          <w:rFonts w:ascii="Book Antiqua" w:hAnsi="Book Antiqua" w:cstheme="majorHAnsi"/>
          <w:b/>
          <w:i/>
          <w:color w:val="auto"/>
          <w:sz w:val="22"/>
          <w:szCs w:val="22"/>
          <w:u w:val="single"/>
        </w:rPr>
        <w:t>.</w:t>
      </w:r>
      <w:r w:rsidRPr="00202BD1">
        <w:rPr>
          <w:rFonts w:ascii="Book Antiqua" w:hAnsi="Book Antiqua" w:cstheme="majorHAnsi"/>
          <w:i/>
          <w:color w:val="auto"/>
          <w:sz w:val="22"/>
          <w:szCs w:val="22"/>
        </w:rPr>
        <w:t xml:space="preserve"> – El Concejo Municipal </w:t>
      </w:r>
      <w:r w:rsidRPr="00202BD1">
        <w:rPr>
          <w:rFonts w:ascii="Book Antiqua" w:hAnsi="Book Antiqua" w:cstheme="majorHAnsi"/>
          <w:b/>
          <w:i/>
          <w:color w:val="auto"/>
          <w:sz w:val="22"/>
          <w:szCs w:val="22"/>
        </w:rPr>
        <w:t>CONSIDERANDO:</w:t>
      </w:r>
    </w:p>
    <w:p w14:paraId="14D8D390" w14:textId="341501DA" w:rsidR="003C14B3" w:rsidRDefault="003C14B3" w:rsidP="003C14B3">
      <w:pPr>
        <w:pStyle w:val="Prrafodelista"/>
        <w:numPr>
          <w:ilvl w:val="0"/>
          <w:numId w:val="14"/>
        </w:numPr>
        <w:spacing w:line="276" w:lineRule="auto"/>
        <w:jc w:val="both"/>
        <w:rPr>
          <w:rFonts w:ascii="Book Antiqua" w:hAnsi="Book Antiqua" w:cstheme="majorHAnsi"/>
          <w:i/>
          <w:color w:val="auto"/>
          <w:sz w:val="22"/>
          <w:lang w:val="es-419"/>
        </w:rPr>
      </w:pPr>
      <w:r w:rsidRPr="00051F6E">
        <w:rPr>
          <w:rFonts w:ascii="Book Antiqua" w:hAnsi="Book Antiqua" w:cstheme="majorHAnsi"/>
          <w:i/>
          <w:color w:val="auto"/>
          <w:sz w:val="22"/>
          <w:lang w:val="es-419"/>
        </w:rPr>
        <w:t xml:space="preserve">Que por Acuerdo Municipal Número </w:t>
      </w:r>
      <w:r w:rsidR="008154D6">
        <w:rPr>
          <w:rFonts w:ascii="Book Antiqua" w:hAnsi="Book Antiqua" w:cstheme="majorHAnsi"/>
          <w:i/>
          <w:color w:val="auto"/>
          <w:sz w:val="22"/>
          <w:lang w:val="es-419"/>
        </w:rPr>
        <w:t>Quince</w:t>
      </w:r>
      <w:r w:rsidRPr="00051F6E">
        <w:rPr>
          <w:rFonts w:ascii="Book Antiqua" w:hAnsi="Book Antiqua" w:cstheme="majorHAnsi"/>
          <w:i/>
          <w:color w:val="auto"/>
          <w:sz w:val="22"/>
          <w:lang w:val="es-419"/>
        </w:rPr>
        <w:t xml:space="preserve"> de Acta Número </w:t>
      </w:r>
      <w:r w:rsidR="008154D6">
        <w:rPr>
          <w:rFonts w:ascii="Book Antiqua" w:hAnsi="Book Antiqua" w:cstheme="majorHAnsi"/>
          <w:i/>
          <w:color w:val="auto"/>
          <w:sz w:val="22"/>
          <w:lang w:val="es-419"/>
        </w:rPr>
        <w:t>Uno</w:t>
      </w:r>
      <w:r w:rsidRPr="00051F6E">
        <w:rPr>
          <w:rFonts w:ascii="Book Antiqua" w:hAnsi="Book Antiqua" w:cstheme="majorHAnsi"/>
          <w:i/>
          <w:color w:val="auto"/>
          <w:sz w:val="22"/>
          <w:lang w:val="es-419"/>
        </w:rPr>
        <w:t xml:space="preserve"> de fecha </w:t>
      </w:r>
      <w:r w:rsidR="008154D6">
        <w:rPr>
          <w:rFonts w:ascii="Book Antiqua" w:hAnsi="Book Antiqua" w:cstheme="majorHAnsi"/>
          <w:i/>
          <w:color w:val="auto"/>
          <w:sz w:val="22"/>
          <w:lang w:val="es-419"/>
        </w:rPr>
        <w:t xml:space="preserve">cuatro de enero </w:t>
      </w:r>
      <w:r w:rsidRPr="00051F6E">
        <w:rPr>
          <w:rFonts w:ascii="Book Antiqua" w:hAnsi="Book Antiqua" w:cstheme="majorHAnsi"/>
          <w:i/>
          <w:color w:val="auto"/>
          <w:sz w:val="22"/>
          <w:lang w:val="es-419"/>
        </w:rPr>
        <w:t xml:space="preserve">del año dos mil veintitrés, se </w:t>
      </w:r>
      <w:r w:rsidR="008154D6">
        <w:rPr>
          <w:rFonts w:ascii="Book Antiqua" w:hAnsi="Book Antiqua" w:cstheme="majorHAnsi"/>
          <w:i/>
          <w:color w:val="auto"/>
          <w:sz w:val="22"/>
          <w:lang w:val="es-419"/>
        </w:rPr>
        <w:t>a</w:t>
      </w:r>
      <w:r w:rsidR="008154D6" w:rsidRPr="00566800">
        <w:rPr>
          <w:rFonts w:ascii="Book Antiqua" w:hAnsi="Book Antiqua" w:cstheme="majorHAnsi"/>
          <w:i/>
          <w:color w:val="auto"/>
          <w:sz w:val="20"/>
          <w:szCs w:val="20"/>
          <w:lang w:val="es-419"/>
        </w:rPr>
        <w:t xml:space="preserve">utoriza al Alcalde Municipal, Omar Josué Pineda Rodríguez, para que en nombre de esta municipalidad firme el respectivo CONVENIO, así como toda clase de documentos relacionado al convenio con el </w:t>
      </w:r>
      <w:r w:rsidR="008154D6">
        <w:rPr>
          <w:rFonts w:ascii="Book Antiqua" w:hAnsi="Book Antiqua" w:cstheme="majorHAnsi"/>
          <w:i/>
          <w:color w:val="auto"/>
          <w:sz w:val="20"/>
          <w:szCs w:val="20"/>
          <w:lang w:val="es-419"/>
        </w:rPr>
        <w:t>INSTITUTO CRECER JUNTOS</w:t>
      </w:r>
      <w:r w:rsidR="006F47EC">
        <w:rPr>
          <w:rFonts w:ascii="Book Antiqua" w:hAnsi="Book Antiqua" w:cstheme="majorHAnsi"/>
          <w:i/>
          <w:color w:val="auto"/>
          <w:sz w:val="20"/>
          <w:szCs w:val="20"/>
          <w:lang w:val="es-419"/>
        </w:rPr>
        <w:t xml:space="preserve"> -ICJ-</w:t>
      </w:r>
      <w:r w:rsidRPr="00051F6E">
        <w:rPr>
          <w:rFonts w:ascii="Book Antiqua" w:hAnsi="Book Antiqua" w:cstheme="majorHAnsi"/>
          <w:i/>
          <w:color w:val="auto"/>
          <w:sz w:val="22"/>
          <w:lang w:val="es-419"/>
        </w:rPr>
        <w:t>.</w:t>
      </w:r>
    </w:p>
    <w:p w14:paraId="5D3904E4" w14:textId="01B0B35F" w:rsidR="003C14B3" w:rsidRPr="00311168" w:rsidRDefault="003C14B3" w:rsidP="00311168">
      <w:pPr>
        <w:pStyle w:val="Prrafodelista"/>
        <w:numPr>
          <w:ilvl w:val="0"/>
          <w:numId w:val="14"/>
        </w:numPr>
        <w:spacing w:line="276" w:lineRule="auto"/>
        <w:jc w:val="both"/>
        <w:rPr>
          <w:rFonts w:ascii="Book Antiqua" w:hAnsi="Book Antiqua" w:cstheme="majorHAnsi"/>
          <w:i/>
          <w:color w:val="auto"/>
          <w:sz w:val="22"/>
          <w:lang w:val="es-419"/>
        </w:rPr>
      </w:pPr>
      <w:r w:rsidRPr="00051F6E">
        <w:rPr>
          <w:rFonts w:ascii="Book Antiqua" w:hAnsi="Book Antiqua" w:cstheme="majorHAnsi"/>
          <w:i/>
          <w:color w:val="auto"/>
          <w:sz w:val="22"/>
          <w:lang w:val="es-419"/>
        </w:rPr>
        <w:t xml:space="preserve">Que </w:t>
      </w:r>
      <w:r>
        <w:rPr>
          <w:rFonts w:ascii="Book Antiqua" w:hAnsi="Book Antiqua" w:cstheme="majorHAnsi"/>
          <w:i/>
          <w:color w:val="auto"/>
          <w:sz w:val="22"/>
          <w:lang w:val="es-419"/>
        </w:rPr>
        <w:t xml:space="preserve">con fecha </w:t>
      </w:r>
      <w:r w:rsidR="00B531C7">
        <w:rPr>
          <w:rFonts w:ascii="Book Antiqua" w:hAnsi="Book Antiqua" w:cstheme="majorHAnsi"/>
          <w:i/>
          <w:color w:val="auto"/>
          <w:sz w:val="22"/>
          <w:lang w:val="es-419"/>
        </w:rPr>
        <w:t>veintiséis</w:t>
      </w:r>
      <w:r>
        <w:rPr>
          <w:rFonts w:ascii="Book Antiqua" w:hAnsi="Book Antiqua" w:cstheme="majorHAnsi"/>
          <w:i/>
          <w:color w:val="auto"/>
          <w:sz w:val="22"/>
          <w:lang w:val="es-419"/>
        </w:rPr>
        <w:t xml:space="preserve"> de enero de </w:t>
      </w:r>
      <w:r w:rsidR="00B531C7">
        <w:rPr>
          <w:rFonts w:ascii="Book Antiqua" w:hAnsi="Book Antiqua" w:cstheme="majorHAnsi"/>
          <w:i/>
          <w:color w:val="auto"/>
          <w:sz w:val="22"/>
          <w:lang w:val="es-419"/>
        </w:rPr>
        <w:t>dos mil veintitrés</w:t>
      </w:r>
      <w:r>
        <w:rPr>
          <w:rFonts w:ascii="Book Antiqua" w:hAnsi="Book Antiqua" w:cstheme="majorHAnsi"/>
          <w:i/>
          <w:color w:val="auto"/>
          <w:sz w:val="22"/>
          <w:lang w:val="es-419"/>
        </w:rPr>
        <w:t xml:space="preserve">, el Alcalde Municipal firmó el Convenio de Transferencias Corrientes a Entidades Administrativas de Centros de Bienestar Infantil </w:t>
      </w:r>
      <w:r w:rsidR="008154D6">
        <w:rPr>
          <w:rFonts w:ascii="Book Antiqua" w:hAnsi="Book Antiqua" w:cstheme="majorHAnsi"/>
          <w:i/>
          <w:color w:val="auto"/>
          <w:sz w:val="22"/>
          <w:lang w:val="es-419"/>
        </w:rPr>
        <w:t>“Santa Leticia”</w:t>
      </w:r>
      <w:r w:rsidR="00311168">
        <w:rPr>
          <w:rFonts w:ascii="Book Antiqua" w:hAnsi="Book Antiqua" w:cstheme="majorHAnsi"/>
          <w:i/>
          <w:color w:val="auto"/>
          <w:sz w:val="22"/>
          <w:lang w:val="es-419"/>
        </w:rPr>
        <w:t>, entre el Instituto Crecer Juntos y la Alcaldía Municipal de El Carmen</w:t>
      </w:r>
      <w:r w:rsidR="008154D6" w:rsidRPr="00311168">
        <w:rPr>
          <w:rFonts w:ascii="Book Antiqua" w:hAnsi="Book Antiqua" w:cstheme="majorHAnsi"/>
          <w:i/>
          <w:color w:val="auto"/>
          <w:sz w:val="22"/>
          <w:lang w:val="es-419"/>
        </w:rPr>
        <w:t>.</w:t>
      </w:r>
    </w:p>
    <w:p w14:paraId="7669EE3A" w14:textId="60DEAD79" w:rsidR="004E53F0" w:rsidRDefault="008154D6" w:rsidP="003C14B3">
      <w:pPr>
        <w:pStyle w:val="Prrafodelista"/>
        <w:numPr>
          <w:ilvl w:val="0"/>
          <w:numId w:val="14"/>
        </w:numPr>
        <w:spacing w:line="276" w:lineRule="auto"/>
        <w:jc w:val="both"/>
        <w:rPr>
          <w:rFonts w:ascii="Book Antiqua" w:hAnsi="Book Antiqua" w:cstheme="majorHAnsi"/>
          <w:i/>
          <w:color w:val="auto"/>
          <w:sz w:val="22"/>
          <w:lang w:val="es-419"/>
        </w:rPr>
      </w:pPr>
      <w:r>
        <w:rPr>
          <w:rFonts w:ascii="Book Antiqua" w:hAnsi="Book Antiqua" w:cstheme="majorHAnsi"/>
          <w:i/>
          <w:color w:val="auto"/>
          <w:sz w:val="22"/>
          <w:lang w:val="es-419"/>
        </w:rPr>
        <w:t xml:space="preserve">Que en el referido </w:t>
      </w:r>
      <w:r w:rsidR="004E53F0">
        <w:rPr>
          <w:rFonts w:ascii="Book Antiqua" w:hAnsi="Book Antiqua" w:cstheme="majorHAnsi"/>
          <w:i/>
          <w:color w:val="auto"/>
          <w:sz w:val="22"/>
          <w:lang w:val="es-419"/>
        </w:rPr>
        <w:t>contrato</w:t>
      </w:r>
      <w:r>
        <w:rPr>
          <w:rFonts w:ascii="Book Antiqua" w:hAnsi="Book Antiqua" w:cstheme="majorHAnsi"/>
          <w:i/>
          <w:color w:val="auto"/>
          <w:sz w:val="22"/>
          <w:lang w:val="es-419"/>
        </w:rPr>
        <w:t xml:space="preserve"> arriba señalado</w:t>
      </w:r>
      <w:r w:rsidR="004E53F0">
        <w:rPr>
          <w:rFonts w:ascii="Book Antiqua" w:hAnsi="Book Antiqua" w:cstheme="majorHAnsi"/>
          <w:i/>
          <w:color w:val="auto"/>
          <w:sz w:val="22"/>
          <w:lang w:val="es-419"/>
        </w:rPr>
        <w:t>,</w:t>
      </w:r>
      <w:r>
        <w:rPr>
          <w:rFonts w:ascii="Book Antiqua" w:hAnsi="Book Antiqua" w:cstheme="majorHAnsi"/>
          <w:i/>
          <w:color w:val="auto"/>
          <w:sz w:val="22"/>
          <w:lang w:val="es-419"/>
        </w:rPr>
        <w:t xml:space="preserve"> se contempla la</w:t>
      </w:r>
      <w:r w:rsidR="00DA271C">
        <w:rPr>
          <w:rFonts w:ascii="Book Antiqua" w:hAnsi="Book Antiqua" w:cstheme="majorHAnsi"/>
          <w:i/>
          <w:color w:val="auto"/>
          <w:sz w:val="22"/>
          <w:lang w:val="es-419"/>
        </w:rPr>
        <w:t xml:space="preserve"> asignación para la contratación</w:t>
      </w:r>
      <w:r>
        <w:rPr>
          <w:rFonts w:ascii="Book Antiqua" w:hAnsi="Book Antiqua" w:cstheme="majorHAnsi"/>
          <w:i/>
          <w:color w:val="auto"/>
          <w:sz w:val="22"/>
          <w:lang w:val="es-419"/>
        </w:rPr>
        <w:t xml:space="preserve"> de dos </w:t>
      </w:r>
      <w:r w:rsidR="00DA271C">
        <w:rPr>
          <w:rFonts w:ascii="Book Antiqua" w:hAnsi="Book Antiqua" w:cstheme="majorHAnsi"/>
          <w:i/>
          <w:color w:val="auto"/>
          <w:sz w:val="22"/>
          <w:lang w:val="es-419"/>
        </w:rPr>
        <w:t>personas responsables de la atención directa de niñas y niños por la suma de ciento cincuenta con 00/100 dólares de los Estados Unidos de América (US$150.00)</w:t>
      </w:r>
      <w:r w:rsidR="004E53F0">
        <w:rPr>
          <w:rFonts w:ascii="Book Antiqua" w:hAnsi="Book Antiqua" w:cstheme="majorHAnsi"/>
          <w:i/>
          <w:color w:val="auto"/>
          <w:sz w:val="22"/>
          <w:lang w:val="es-419"/>
        </w:rPr>
        <w:t>.</w:t>
      </w:r>
    </w:p>
    <w:p w14:paraId="271B399F" w14:textId="157A1F4F" w:rsidR="008154D6" w:rsidRPr="00511304" w:rsidRDefault="004E53F0" w:rsidP="00511304">
      <w:pPr>
        <w:pStyle w:val="Prrafodelista"/>
        <w:numPr>
          <w:ilvl w:val="0"/>
          <w:numId w:val="14"/>
        </w:numPr>
        <w:spacing w:line="276" w:lineRule="auto"/>
        <w:jc w:val="both"/>
        <w:rPr>
          <w:rFonts w:ascii="Book Antiqua" w:hAnsi="Book Antiqua" w:cstheme="majorHAnsi"/>
          <w:i/>
          <w:color w:val="auto"/>
          <w:sz w:val="22"/>
          <w:lang w:val="es-419"/>
        </w:rPr>
      </w:pPr>
      <w:r>
        <w:rPr>
          <w:rFonts w:ascii="Book Antiqua" w:hAnsi="Book Antiqua" w:cstheme="majorHAnsi"/>
          <w:i/>
          <w:color w:val="auto"/>
          <w:sz w:val="22"/>
          <w:lang w:val="es-419"/>
        </w:rPr>
        <w:t xml:space="preserve"> Que con fecha 26 de enero de 2023 la encargada de la Unidad de la Niñez, Adolescencia y Juventud </w:t>
      </w:r>
      <w:r w:rsidR="00511304">
        <w:rPr>
          <w:rFonts w:ascii="Book Antiqua" w:hAnsi="Book Antiqua" w:cstheme="majorHAnsi"/>
          <w:i/>
          <w:color w:val="auto"/>
          <w:sz w:val="22"/>
          <w:lang w:val="es-419"/>
        </w:rPr>
        <w:t xml:space="preserve">presenta la propuesta de los perfiles </w:t>
      </w:r>
      <w:r w:rsidR="00DA271C">
        <w:rPr>
          <w:rFonts w:ascii="Book Antiqua" w:hAnsi="Book Antiqua" w:cstheme="majorHAnsi"/>
          <w:i/>
          <w:color w:val="auto"/>
          <w:sz w:val="22"/>
          <w:lang w:val="es-419"/>
        </w:rPr>
        <w:t xml:space="preserve">de dos personas responsables de la atención directa de niñas y niños </w:t>
      </w:r>
      <w:r w:rsidR="00511304">
        <w:rPr>
          <w:rFonts w:ascii="Book Antiqua" w:hAnsi="Book Antiqua" w:cstheme="majorHAnsi"/>
          <w:i/>
          <w:color w:val="auto"/>
          <w:sz w:val="22"/>
          <w:lang w:val="es-419"/>
        </w:rPr>
        <w:t>del Centro de Bienestar Infantil, siendo Karla María Figueroa Sigüenza y Carolina Beatriz García Vásquez.</w:t>
      </w:r>
    </w:p>
    <w:p w14:paraId="6F7D86E7" w14:textId="77777777" w:rsidR="003C14B3" w:rsidRPr="00051F6E" w:rsidRDefault="003C14B3" w:rsidP="003C14B3">
      <w:pPr>
        <w:spacing w:line="276" w:lineRule="auto"/>
        <w:jc w:val="both"/>
        <w:rPr>
          <w:rFonts w:ascii="Book Antiqua" w:hAnsi="Book Antiqua" w:cstheme="majorHAnsi"/>
          <w:b/>
          <w:i/>
          <w:color w:val="auto"/>
          <w:sz w:val="22"/>
          <w:szCs w:val="22"/>
        </w:rPr>
      </w:pPr>
      <w:r w:rsidRPr="00051F6E">
        <w:rPr>
          <w:rFonts w:ascii="Book Antiqua" w:hAnsi="Book Antiqua" w:cstheme="majorHAnsi"/>
          <w:b/>
          <w:i/>
          <w:color w:val="auto"/>
          <w:sz w:val="22"/>
          <w:szCs w:val="22"/>
        </w:rPr>
        <w:t xml:space="preserve">POR TANTO, </w:t>
      </w:r>
      <w:r w:rsidRPr="00051F6E">
        <w:rPr>
          <w:rFonts w:ascii="Book Antiqua" w:hAnsi="Book Antiqua" w:cstheme="majorHAnsi"/>
          <w:bCs/>
          <w:i/>
          <w:color w:val="auto"/>
          <w:sz w:val="22"/>
          <w:szCs w:val="22"/>
        </w:rPr>
        <w:t>el Concejo Municipal en uso de las facultades que le confiere el Código Municipal vigente y tomando las demás consideraciones</w:t>
      </w:r>
      <w:r w:rsidRPr="00051F6E">
        <w:rPr>
          <w:rFonts w:ascii="Book Antiqua" w:hAnsi="Book Antiqua" w:cstheme="majorHAnsi"/>
          <w:b/>
          <w:i/>
          <w:color w:val="auto"/>
          <w:sz w:val="22"/>
          <w:szCs w:val="22"/>
        </w:rPr>
        <w:t xml:space="preserve"> ACUERDA POR UNANIMIDAD:</w:t>
      </w:r>
    </w:p>
    <w:p w14:paraId="460C390B" w14:textId="3E6639FF" w:rsidR="001E55BD" w:rsidRPr="001E55BD" w:rsidRDefault="001E55BD" w:rsidP="001E55BD">
      <w:pPr>
        <w:pStyle w:val="Prrafodelista"/>
        <w:numPr>
          <w:ilvl w:val="0"/>
          <w:numId w:val="15"/>
        </w:numPr>
        <w:spacing w:line="276" w:lineRule="auto"/>
        <w:jc w:val="both"/>
        <w:rPr>
          <w:rFonts w:ascii="Book Antiqua" w:hAnsi="Book Antiqua" w:cstheme="majorHAnsi"/>
          <w:i/>
          <w:color w:val="auto"/>
          <w:sz w:val="22"/>
          <w:lang w:val="es-419"/>
        </w:rPr>
      </w:pPr>
      <w:r w:rsidRPr="001E55BD">
        <w:rPr>
          <w:rFonts w:ascii="Book Antiqua" w:hAnsi="Book Antiqua" w:cstheme="majorHAnsi"/>
          <w:i/>
          <w:color w:val="auto"/>
          <w:sz w:val="22"/>
          <w:szCs w:val="22"/>
          <w:lang w:val="es-419"/>
        </w:rPr>
        <w:t xml:space="preserve">Contratar a </w:t>
      </w:r>
      <w:r w:rsidR="00F5390A">
        <w:rPr>
          <w:rFonts w:ascii="Book Antiqua" w:hAnsi="Book Antiqua" w:cstheme="majorHAnsi"/>
          <w:b/>
          <w:bCs/>
          <w:i/>
          <w:color w:val="auto"/>
          <w:sz w:val="22"/>
          <w:lang w:val="es-419"/>
        </w:rPr>
        <w:t>XXXX XXXX XXXX XXXX</w:t>
      </w:r>
      <w:r w:rsidRPr="001E55BD">
        <w:rPr>
          <w:rFonts w:ascii="Book Antiqua" w:hAnsi="Book Antiqua" w:cstheme="majorHAnsi"/>
          <w:i/>
          <w:color w:val="auto"/>
          <w:sz w:val="22"/>
          <w:lang w:val="es-419"/>
        </w:rPr>
        <w:t xml:space="preserve"> </w:t>
      </w:r>
      <w:r w:rsidRPr="006E69CA">
        <w:rPr>
          <w:rFonts w:ascii="Book Antiqua" w:hAnsi="Book Antiqua" w:cstheme="majorHAnsi"/>
          <w:i/>
          <w:color w:val="auto"/>
          <w:sz w:val="22"/>
          <w:lang w:val="es-419"/>
        </w:rPr>
        <w:t>y</w:t>
      </w:r>
      <w:r w:rsidRPr="001E55BD">
        <w:rPr>
          <w:rFonts w:ascii="Book Antiqua" w:hAnsi="Book Antiqua" w:cstheme="majorHAnsi"/>
          <w:b/>
          <w:bCs/>
          <w:i/>
          <w:color w:val="auto"/>
          <w:sz w:val="22"/>
          <w:lang w:val="es-419"/>
        </w:rPr>
        <w:t xml:space="preserve"> </w:t>
      </w:r>
      <w:r w:rsidR="00F5390A">
        <w:rPr>
          <w:rFonts w:ascii="Book Antiqua" w:hAnsi="Book Antiqua" w:cstheme="majorHAnsi"/>
          <w:b/>
          <w:bCs/>
          <w:i/>
          <w:color w:val="auto"/>
          <w:sz w:val="22"/>
          <w:lang w:val="es-419"/>
        </w:rPr>
        <w:t>XXXX XXXX XXXX XXXX</w:t>
      </w:r>
      <w:r>
        <w:rPr>
          <w:rFonts w:ascii="Book Antiqua" w:hAnsi="Book Antiqua" w:cstheme="majorHAnsi"/>
          <w:i/>
          <w:color w:val="auto"/>
          <w:sz w:val="22"/>
          <w:lang w:val="es-419"/>
        </w:rPr>
        <w:t xml:space="preserve"> </w:t>
      </w:r>
      <w:r w:rsidRPr="001E55BD">
        <w:rPr>
          <w:rFonts w:ascii="Book Antiqua" w:hAnsi="Book Antiqua" w:cstheme="majorHAnsi"/>
          <w:i/>
          <w:color w:val="auto"/>
          <w:sz w:val="22"/>
          <w:szCs w:val="22"/>
          <w:lang w:val="es-419"/>
        </w:rPr>
        <w:t xml:space="preserve">para la Prestación de Servicios </w:t>
      </w:r>
      <w:r>
        <w:rPr>
          <w:rFonts w:ascii="Book Antiqua" w:hAnsi="Book Antiqua" w:cstheme="majorHAnsi"/>
          <w:i/>
          <w:color w:val="auto"/>
          <w:sz w:val="22"/>
          <w:szCs w:val="22"/>
          <w:lang w:val="es-419"/>
        </w:rPr>
        <w:t xml:space="preserve">como </w:t>
      </w:r>
      <w:r w:rsidR="00DA271C">
        <w:rPr>
          <w:rFonts w:ascii="Book Antiqua" w:hAnsi="Book Antiqua" w:cstheme="majorHAnsi"/>
          <w:i/>
          <w:color w:val="auto"/>
          <w:sz w:val="22"/>
          <w:lang w:val="es-419"/>
        </w:rPr>
        <w:t xml:space="preserve">personas responsables de la atención directa de niñas y niños </w:t>
      </w:r>
      <w:r>
        <w:rPr>
          <w:rFonts w:ascii="Book Antiqua" w:hAnsi="Book Antiqua" w:cstheme="majorHAnsi"/>
          <w:i/>
          <w:color w:val="auto"/>
          <w:sz w:val="22"/>
          <w:lang w:val="es-419"/>
        </w:rPr>
        <w:t>del Centro de Bienestar Infantil</w:t>
      </w:r>
      <w:r w:rsidR="00DA271C">
        <w:rPr>
          <w:rFonts w:ascii="Book Antiqua" w:hAnsi="Book Antiqua" w:cstheme="majorHAnsi"/>
          <w:i/>
          <w:color w:val="auto"/>
          <w:sz w:val="22"/>
          <w:lang w:val="es-419"/>
        </w:rPr>
        <w:t xml:space="preserve"> “Santa Leticia”</w:t>
      </w:r>
      <w:r w:rsidRPr="001E55BD">
        <w:rPr>
          <w:rFonts w:ascii="Book Antiqua" w:hAnsi="Book Antiqua" w:cstheme="majorHAnsi"/>
          <w:i/>
          <w:color w:val="auto"/>
          <w:sz w:val="22"/>
          <w:szCs w:val="22"/>
          <w:lang w:val="es-419"/>
        </w:rPr>
        <w:t xml:space="preserve">, </w:t>
      </w:r>
      <w:r w:rsidR="005E4C9A">
        <w:rPr>
          <w:rFonts w:ascii="Book Antiqua" w:hAnsi="Book Antiqua" w:cstheme="majorHAnsi"/>
          <w:i/>
          <w:color w:val="auto"/>
          <w:sz w:val="22"/>
          <w:szCs w:val="22"/>
          <w:lang w:val="es-419"/>
        </w:rPr>
        <w:t>a</w:t>
      </w:r>
      <w:r w:rsidR="005E4C9A" w:rsidRPr="005E4C9A">
        <w:rPr>
          <w:rFonts w:ascii="Book Antiqua" w:hAnsi="Book Antiqua" w:cstheme="majorHAnsi"/>
          <w:i/>
          <w:color w:val="auto"/>
          <w:sz w:val="22"/>
          <w:szCs w:val="22"/>
          <w:lang w:val="es-419"/>
        </w:rPr>
        <w:t xml:space="preserve"> partir del mes de enero a diciembre del presente</w:t>
      </w:r>
      <w:r w:rsidR="005E4C9A">
        <w:rPr>
          <w:rFonts w:ascii="Book Antiqua" w:hAnsi="Book Antiqua" w:cstheme="majorHAnsi"/>
          <w:i/>
          <w:color w:val="auto"/>
          <w:sz w:val="22"/>
          <w:szCs w:val="22"/>
          <w:lang w:val="es-419"/>
        </w:rPr>
        <w:t xml:space="preserve">, </w:t>
      </w:r>
      <w:r w:rsidR="005E4C9A" w:rsidRPr="005E4C9A">
        <w:rPr>
          <w:rFonts w:ascii="Book Antiqua" w:hAnsi="Book Antiqua" w:cstheme="majorHAnsi"/>
          <w:i/>
          <w:color w:val="auto"/>
          <w:sz w:val="22"/>
          <w:szCs w:val="22"/>
          <w:lang w:val="es-419"/>
        </w:rPr>
        <w:t xml:space="preserve">devengando mensualmente </w:t>
      </w:r>
      <w:r w:rsidR="0092715B">
        <w:rPr>
          <w:rFonts w:ascii="Book Antiqua" w:hAnsi="Book Antiqua" w:cstheme="majorHAnsi"/>
          <w:i/>
          <w:color w:val="auto"/>
          <w:sz w:val="22"/>
          <w:szCs w:val="22"/>
          <w:lang w:val="es-419"/>
        </w:rPr>
        <w:t xml:space="preserve">DOSCIENTOS CON 00/100 </w:t>
      </w:r>
      <w:r w:rsidR="007E2A13">
        <w:rPr>
          <w:rFonts w:ascii="Book Antiqua" w:hAnsi="Book Antiqua" w:cstheme="majorHAnsi"/>
          <w:i/>
          <w:color w:val="auto"/>
          <w:sz w:val="22"/>
          <w:szCs w:val="22"/>
          <w:lang w:val="es-419"/>
        </w:rPr>
        <w:t xml:space="preserve">dólares de los Estados Unidos de América </w:t>
      </w:r>
      <w:r w:rsidR="005E4C9A" w:rsidRPr="005E4C9A">
        <w:rPr>
          <w:rFonts w:ascii="Book Antiqua" w:hAnsi="Book Antiqua" w:cstheme="majorHAnsi"/>
          <w:i/>
          <w:color w:val="auto"/>
          <w:sz w:val="22"/>
          <w:szCs w:val="22"/>
          <w:lang w:val="es-419"/>
        </w:rPr>
        <w:t>(</w:t>
      </w:r>
      <w:r w:rsidR="007E2A13">
        <w:rPr>
          <w:rFonts w:ascii="Book Antiqua" w:hAnsi="Book Antiqua" w:cstheme="majorHAnsi"/>
          <w:i/>
          <w:color w:val="auto"/>
          <w:sz w:val="22"/>
          <w:szCs w:val="22"/>
          <w:lang w:val="es-419"/>
        </w:rPr>
        <w:t>US</w:t>
      </w:r>
      <w:r w:rsidR="005E4C9A" w:rsidRPr="005E4C9A">
        <w:rPr>
          <w:rFonts w:ascii="Book Antiqua" w:hAnsi="Book Antiqua" w:cstheme="majorHAnsi"/>
          <w:i/>
          <w:color w:val="auto"/>
          <w:sz w:val="22"/>
          <w:szCs w:val="22"/>
          <w:lang w:val="es-419"/>
        </w:rPr>
        <w:t>$</w:t>
      </w:r>
      <w:r w:rsidR="007E2A13">
        <w:rPr>
          <w:rFonts w:ascii="Book Antiqua" w:hAnsi="Book Antiqua" w:cstheme="majorHAnsi"/>
          <w:i/>
          <w:color w:val="auto"/>
          <w:sz w:val="22"/>
          <w:szCs w:val="22"/>
          <w:lang w:val="es-419"/>
        </w:rPr>
        <w:t>20</w:t>
      </w:r>
      <w:r w:rsidR="005E4C9A" w:rsidRPr="005E4C9A">
        <w:rPr>
          <w:rFonts w:ascii="Book Antiqua" w:hAnsi="Book Antiqua" w:cstheme="majorHAnsi"/>
          <w:i/>
          <w:color w:val="auto"/>
          <w:sz w:val="22"/>
          <w:szCs w:val="22"/>
          <w:lang w:val="es-419"/>
        </w:rPr>
        <w:t>0.00)</w:t>
      </w:r>
      <w:r w:rsidR="007E2A13">
        <w:rPr>
          <w:rFonts w:ascii="Book Antiqua" w:hAnsi="Book Antiqua" w:cstheme="majorHAnsi"/>
          <w:i/>
          <w:color w:val="auto"/>
          <w:sz w:val="22"/>
          <w:szCs w:val="22"/>
          <w:lang w:val="es-419"/>
        </w:rPr>
        <w:t xml:space="preserve"> cada una</w:t>
      </w:r>
      <w:r w:rsidR="00DA271C">
        <w:rPr>
          <w:rFonts w:ascii="Book Antiqua" w:hAnsi="Book Antiqua" w:cstheme="majorHAnsi"/>
          <w:i/>
          <w:color w:val="auto"/>
          <w:sz w:val="22"/>
          <w:szCs w:val="22"/>
          <w:lang w:val="es-419"/>
        </w:rPr>
        <w:t>,</w:t>
      </w:r>
      <w:r w:rsidR="007E2A13">
        <w:rPr>
          <w:rFonts w:ascii="Book Antiqua" w:hAnsi="Book Antiqua" w:cstheme="majorHAnsi"/>
          <w:i/>
          <w:color w:val="auto"/>
          <w:sz w:val="22"/>
          <w:szCs w:val="22"/>
          <w:lang w:val="es-419"/>
        </w:rPr>
        <w:t xml:space="preserve"> de la siguiente manera; ciento cincuenta con 00/100 dólares de los Estados Unidos de América </w:t>
      </w:r>
      <w:r w:rsidR="007E2A13" w:rsidRPr="005E4C9A">
        <w:rPr>
          <w:rFonts w:ascii="Book Antiqua" w:hAnsi="Book Antiqua" w:cstheme="majorHAnsi"/>
          <w:i/>
          <w:color w:val="auto"/>
          <w:sz w:val="22"/>
          <w:szCs w:val="22"/>
          <w:lang w:val="es-419"/>
        </w:rPr>
        <w:t>(</w:t>
      </w:r>
      <w:r w:rsidR="007E2A13">
        <w:rPr>
          <w:rFonts w:ascii="Book Antiqua" w:hAnsi="Book Antiqua" w:cstheme="majorHAnsi"/>
          <w:i/>
          <w:color w:val="auto"/>
          <w:sz w:val="22"/>
          <w:szCs w:val="22"/>
          <w:lang w:val="es-419"/>
        </w:rPr>
        <w:t>US</w:t>
      </w:r>
      <w:r w:rsidR="007E2A13" w:rsidRPr="005E4C9A">
        <w:rPr>
          <w:rFonts w:ascii="Book Antiqua" w:hAnsi="Book Antiqua" w:cstheme="majorHAnsi"/>
          <w:i/>
          <w:color w:val="auto"/>
          <w:sz w:val="22"/>
          <w:szCs w:val="22"/>
          <w:lang w:val="es-419"/>
        </w:rPr>
        <w:t>$</w:t>
      </w:r>
      <w:r w:rsidR="007E2A13">
        <w:rPr>
          <w:rFonts w:ascii="Book Antiqua" w:hAnsi="Book Antiqua" w:cstheme="majorHAnsi"/>
          <w:i/>
          <w:color w:val="auto"/>
          <w:sz w:val="22"/>
          <w:szCs w:val="22"/>
          <w:lang w:val="es-419"/>
        </w:rPr>
        <w:t>15</w:t>
      </w:r>
      <w:r w:rsidR="007E2A13" w:rsidRPr="005E4C9A">
        <w:rPr>
          <w:rFonts w:ascii="Book Antiqua" w:hAnsi="Book Antiqua" w:cstheme="majorHAnsi"/>
          <w:i/>
          <w:color w:val="auto"/>
          <w:sz w:val="22"/>
          <w:szCs w:val="22"/>
          <w:lang w:val="es-419"/>
        </w:rPr>
        <w:t>0.00)</w:t>
      </w:r>
      <w:r w:rsidR="007E2A13">
        <w:rPr>
          <w:rFonts w:ascii="Book Antiqua" w:hAnsi="Book Antiqua" w:cstheme="majorHAnsi"/>
          <w:i/>
          <w:color w:val="auto"/>
          <w:sz w:val="22"/>
          <w:szCs w:val="22"/>
          <w:lang w:val="es-419"/>
        </w:rPr>
        <w:t xml:space="preserve"> de la cuenta </w:t>
      </w:r>
      <w:r w:rsidR="00636ACB" w:rsidRPr="00636ACB">
        <w:rPr>
          <w:rFonts w:ascii="Book Antiqua" w:hAnsi="Book Antiqua" w:cstheme="majorHAnsi"/>
          <w:i/>
          <w:color w:val="auto"/>
          <w:sz w:val="22"/>
          <w:szCs w:val="22"/>
          <w:lang w:val="es-419"/>
        </w:rPr>
        <w:t>100-170-701188-2</w:t>
      </w:r>
      <w:r w:rsidR="00636ACB">
        <w:rPr>
          <w:rFonts w:ascii="Book Antiqua" w:hAnsi="Book Antiqua" w:cstheme="majorHAnsi"/>
          <w:i/>
          <w:color w:val="auto"/>
          <w:sz w:val="22"/>
          <w:szCs w:val="22"/>
          <w:lang w:val="es-419"/>
        </w:rPr>
        <w:t xml:space="preserve"> </w:t>
      </w:r>
      <w:r w:rsidR="00636ACB" w:rsidRPr="00636ACB">
        <w:rPr>
          <w:rFonts w:ascii="Book Antiqua" w:hAnsi="Book Antiqua" w:cstheme="majorHAnsi"/>
          <w:i/>
          <w:color w:val="auto"/>
          <w:sz w:val="22"/>
          <w:szCs w:val="22"/>
          <w:lang w:val="es-419"/>
        </w:rPr>
        <w:t>ALCALDIA MUNICIPAL DE EL CARMEN, CUSCATLAN/ CONVENIO PARA LA ATENCION DE NIÑAS Y NIÑOS ISNA/ALCALDIA</w:t>
      </w:r>
      <w:r w:rsidR="0054298A">
        <w:rPr>
          <w:rFonts w:ascii="Book Antiqua" w:hAnsi="Book Antiqua" w:cstheme="majorHAnsi"/>
          <w:i/>
          <w:color w:val="auto"/>
          <w:sz w:val="22"/>
          <w:szCs w:val="22"/>
          <w:lang w:val="es-419"/>
        </w:rPr>
        <w:t xml:space="preserve"> </w:t>
      </w:r>
      <w:r w:rsidR="00636ACB">
        <w:rPr>
          <w:rFonts w:ascii="Book Antiqua" w:hAnsi="Book Antiqua" w:cstheme="majorHAnsi"/>
          <w:i/>
          <w:color w:val="auto"/>
          <w:sz w:val="22"/>
          <w:szCs w:val="22"/>
          <w:lang w:val="es-419"/>
        </w:rPr>
        <w:t xml:space="preserve">y </w:t>
      </w:r>
      <w:r w:rsidR="0054298A">
        <w:rPr>
          <w:rFonts w:ascii="Book Antiqua" w:hAnsi="Book Antiqua" w:cstheme="majorHAnsi"/>
          <w:i/>
          <w:color w:val="auto"/>
          <w:sz w:val="22"/>
          <w:szCs w:val="22"/>
          <w:lang w:val="es-419"/>
        </w:rPr>
        <w:t xml:space="preserve">CINCUENTA CON 00/100 </w:t>
      </w:r>
      <w:r w:rsidR="00636ACB">
        <w:rPr>
          <w:rFonts w:ascii="Book Antiqua" w:hAnsi="Book Antiqua" w:cstheme="majorHAnsi"/>
          <w:i/>
          <w:color w:val="auto"/>
          <w:sz w:val="22"/>
          <w:szCs w:val="22"/>
          <w:lang w:val="es-419"/>
        </w:rPr>
        <w:t xml:space="preserve">dólares de los Estados Unidos de América </w:t>
      </w:r>
      <w:r w:rsidR="00636ACB" w:rsidRPr="005E4C9A">
        <w:rPr>
          <w:rFonts w:ascii="Book Antiqua" w:hAnsi="Book Antiqua" w:cstheme="majorHAnsi"/>
          <w:i/>
          <w:color w:val="auto"/>
          <w:sz w:val="22"/>
          <w:szCs w:val="22"/>
          <w:lang w:val="es-419"/>
        </w:rPr>
        <w:t>(</w:t>
      </w:r>
      <w:r w:rsidR="00636ACB">
        <w:rPr>
          <w:rFonts w:ascii="Book Antiqua" w:hAnsi="Book Antiqua" w:cstheme="majorHAnsi"/>
          <w:i/>
          <w:color w:val="auto"/>
          <w:sz w:val="22"/>
          <w:szCs w:val="22"/>
          <w:lang w:val="es-419"/>
        </w:rPr>
        <w:t>US</w:t>
      </w:r>
      <w:r w:rsidR="00636ACB" w:rsidRPr="005E4C9A">
        <w:rPr>
          <w:rFonts w:ascii="Book Antiqua" w:hAnsi="Book Antiqua" w:cstheme="majorHAnsi"/>
          <w:i/>
          <w:color w:val="auto"/>
          <w:sz w:val="22"/>
          <w:szCs w:val="22"/>
          <w:lang w:val="es-419"/>
        </w:rPr>
        <w:t>$</w:t>
      </w:r>
      <w:r w:rsidR="00636ACB">
        <w:rPr>
          <w:rFonts w:ascii="Book Antiqua" w:hAnsi="Book Antiqua" w:cstheme="majorHAnsi"/>
          <w:i/>
          <w:color w:val="auto"/>
          <w:sz w:val="22"/>
          <w:szCs w:val="22"/>
          <w:lang w:val="es-419"/>
        </w:rPr>
        <w:t>5</w:t>
      </w:r>
      <w:r w:rsidR="00636ACB" w:rsidRPr="005E4C9A">
        <w:rPr>
          <w:rFonts w:ascii="Book Antiqua" w:hAnsi="Book Antiqua" w:cstheme="majorHAnsi"/>
          <w:i/>
          <w:color w:val="auto"/>
          <w:sz w:val="22"/>
          <w:szCs w:val="22"/>
          <w:lang w:val="es-419"/>
        </w:rPr>
        <w:t>0.00)</w:t>
      </w:r>
      <w:r w:rsidR="00636ACB">
        <w:rPr>
          <w:rFonts w:ascii="Book Antiqua" w:hAnsi="Book Antiqua" w:cstheme="majorHAnsi"/>
          <w:i/>
          <w:color w:val="auto"/>
          <w:sz w:val="22"/>
          <w:szCs w:val="22"/>
          <w:lang w:val="es-419"/>
        </w:rPr>
        <w:t xml:space="preserve"> de la cuenta corriente</w:t>
      </w:r>
      <w:r w:rsidR="00636ACB" w:rsidRPr="00636ACB">
        <w:t xml:space="preserve"> </w:t>
      </w:r>
      <w:r w:rsidR="00636ACB" w:rsidRPr="00636ACB">
        <w:rPr>
          <w:rFonts w:ascii="Book Antiqua" w:hAnsi="Book Antiqua" w:cstheme="majorHAnsi"/>
          <w:i/>
          <w:color w:val="auto"/>
          <w:sz w:val="22"/>
          <w:szCs w:val="22"/>
          <w:lang w:val="es-419"/>
        </w:rPr>
        <w:t>100-170-701421-0</w:t>
      </w:r>
      <w:r w:rsidR="00636ACB">
        <w:rPr>
          <w:rFonts w:ascii="Book Antiqua" w:hAnsi="Book Antiqua" w:cstheme="majorHAnsi"/>
          <w:i/>
          <w:color w:val="auto"/>
          <w:sz w:val="22"/>
          <w:szCs w:val="22"/>
          <w:lang w:val="es-419"/>
        </w:rPr>
        <w:t xml:space="preserve"> </w:t>
      </w:r>
      <w:r w:rsidR="00636ACB" w:rsidRPr="00636ACB">
        <w:rPr>
          <w:rFonts w:ascii="Book Antiqua" w:hAnsi="Book Antiqua" w:cstheme="majorHAnsi"/>
          <w:i/>
          <w:color w:val="auto"/>
          <w:sz w:val="22"/>
          <w:szCs w:val="22"/>
          <w:lang w:val="es-419"/>
        </w:rPr>
        <w:t>ALCALDIA MUNICIPAL DE EL CARMEN, CUSCATLAN/ FORTALECIMIENTO Y PROMOCION DE LAS HABILIDADES DE LA NIÑEZ, ADOLESCENCIA Y JUVENTUD 2023 FAM</w:t>
      </w:r>
      <w:r w:rsidR="005E4C9A" w:rsidRPr="005E4C9A">
        <w:rPr>
          <w:rFonts w:ascii="Book Antiqua" w:hAnsi="Book Antiqua" w:cstheme="majorHAnsi"/>
          <w:i/>
          <w:color w:val="auto"/>
          <w:sz w:val="22"/>
          <w:szCs w:val="22"/>
          <w:lang w:val="es-419"/>
        </w:rPr>
        <w:t>.</w:t>
      </w:r>
    </w:p>
    <w:p w14:paraId="5DF545EB" w14:textId="116E547E" w:rsidR="001E55BD" w:rsidRPr="00077D03" w:rsidRDefault="001E55BD" w:rsidP="001E55BD">
      <w:pPr>
        <w:pStyle w:val="Prrafodelista"/>
        <w:numPr>
          <w:ilvl w:val="0"/>
          <w:numId w:val="15"/>
        </w:numPr>
        <w:spacing w:line="276" w:lineRule="auto"/>
        <w:jc w:val="both"/>
        <w:rPr>
          <w:rFonts w:ascii="Book Antiqua" w:hAnsi="Book Antiqua" w:cstheme="majorHAnsi"/>
          <w:i/>
          <w:color w:val="auto"/>
          <w:sz w:val="22"/>
          <w:szCs w:val="22"/>
          <w:lang w:val="es-419"/>
        </w:rPr>
      </w:pPr>
      <w:r w:rsidRPr="00077D03">
        <w:rPr>
          <w:rFonts w:ascii="Book Antiqua" w:hAnsi="Book Antiqua" w:cstheme="majorHAnsi"/>
          <w:i/>
          <w:color w:val="auto"/>
          <w:sz w:val="22"/>
          <w:szCs w:val="22"/>
          <w:lang w:val="es-419"/>
        </w:rPr>
        <w:t>Se autoriza al Señor Alcalde Municipal firmar l</w:t>
      </w:r>
      <w:r w:rsidR="00CC0015">
        <w:rPr>
          <w:rFonts w:ascii="Book Antiqua" w:hAnsi="Book Antiqua" w:cstheme="majorHAnsi"/>
          <w:i/>
          <w:color w:val="auto"/>
          <w:sz w:val="22"/>
          <w:szCs w:val="22"/>
          <w:lang w:val="es-419"/>
        </w:rPr>
        <w:t>os</w:t>
      </w:r>
      <w:r w:rsidRPr="00077D03">
        <w:rPr>
          <w:rFonts w:ascii="Book Antiqua" w:hAnsi="Book Antiqua" w:cstheme="majorHAnsi"/>
          <w:i/>
          <w:color w:val="auto"/>
          <w:sz w:val="22"/>
          <w:szCs w:val="22"/>
          <w:lang w:val="es-419"/>
        </w:rPr>
        <w:t xml:space="preserve"> contrato</w:t>
      </w:r>
      <w:r w:rsidR="00CC0015">
        <w:rPr>
          <w:rFonts w:ascii="Book Antiqua" w:hAnsi="Book Antiqua" w:cstheme="majorHAnsi"/>
          <w:i/>
          <w:color w:val="auto"/>
          <w:sz w:val="22"/>
          <w:szCs w:val="22"/>
          <w:lang w:val="es-419"/>
        </w:rPr>
        <w:t>s</w:t>
      </w:r>
      <w:r w:rsidRPr="00077D03">
        <w:rPr>
          <w:rFonts w:ascii="Book Antiqua" w:hAnsi="Book Antiqua" w:cstheme="majorHAnsi"/>
          <w:i/>
          <w:color w:val="auto"/>
          <w:sz w:val="22"/>
          <w:szCs w:val="22"/>
          <w:lang w:val="es-419"/>
        </w:rPr>
        <w:t xml:space="preserve"> descrito</w:t>
      </w:r>
      <w:r w:rsidR="00CC0015">
        <w:rPr>
          <w:rFonts w:ascii="Book Antiqua" w:hAnsi="Book Antiqua" w:cstheme="majorHAnsi"/>
          <w:i/>
          <w:color w:val="auto"/>
          <w:sz w:val="22"/>
          <w:szCs w:val="22"/>
          <w:lang w:val="es-419"/>
        </w:rPr>
        <w:t>s</w:t>
      </w:r>
      <w:r w:rsidRPr="00077D03">
        <w:rPr>
          <w:rFonts w:ascii="Book Antiqua" w:hAnsi="Book Antiqua" w:cstheme="majorHAnsi"/>
          <w:i/>
          <w:color w:val="auto"/>
          <w:sz w:val="22"/>
          <w:szCs w:val="22"/>
          <w:lang w:val="es-419"/>
        </w:rPr>
        <w:t xml:space="preserve"> anteriormente.</w:t>
      </w:r>
    </w:p>
    <w:p w14:paraId="258829EE" w14:textId="3D81C5D0" w:rsidR="001E55BD" w:rsidRPr="00077D03" w:rsidRDefault="001E55BD" w:rsidP="001E55BD">
      <w:pPr>
        <w:pStyle w:val="Prrafodelista"/>
        <w:numPr>
          <w:ilvl w:val="0"/>
          <w:numId w:val="15"/>
        </w:numPr>
        <w:spacing w:line="276" w:lineRule="auto"/>
        <w:jc w:val="both"/>
        <w:rPr>
          <w:rFonts w:ascii="Book Antiqua" w:hAnsi="Book Antiqua" w:cstheme="majorHAnsi"/>
          <w:i/>
          <w:color w:val="auto"/>
          <w:sz w:val="22"/>
          <w:szCs w:val="22"/>
          <w:lang w:val="es-419"/>
        </w:rPr>
      </w:pPr>
      <w:r w:rsidRPr="00077D03">
        <w:rPr>
          <w:rFonts w:ascii="Book Antiqua" w:hAnsi="Book Antiqua" w:cstheme="majorHAnsi"/>
          <w:i/>
          <w:color w:val="auto"/>
          <w:sz w:val="22"/>
          <w:szCs w:val="22"/>
          <w:lang w:val="es-419"/>
        </w:rPr>
        <w:t xml:space="preserve">Delegar a la Asesora Jurídico para elaborar </w:t>
      </w:r>
      <w:r w:rsidR="00CC0015">
        <w:rPr>
          <w:rFonts w:ascii="Book Antiqua" w:hAnsi="Book Antiqua" w:cstheme="majorHAnsi"/>
          <w:i/>
          <w:color w:val="auto"/>
          <w:sz w:val="22"/>
          <w:szCs w:val="22"/>
          <w:lang w:val="es-419"/>
        </w:rPr>
        <w:t>los</w:t>
      </w:r>
      <w:r w:rsidRPr="00077D03">
        <w:rPr>
          <w:rFonts w:ascii="Book Antiqua" w:hAnsi="Book Antiqua" w:cstheme="majorHAnsi"/>
          <w:i/>
          <w:color w:val="auto"/>
          <w:sz w:val="22"/>
          <w:szCs w:val="22"/>
          <w:lang w:val="es-419"/>
        </w:rPr>
        <w:t xml:space="preserve"> referido</w:t>
      </w:r>
      <w:r w:rsidR="00CC0015">
        <w:rPr>
          <w:rFonts w:ascii="Book Antiqua" w:hAnsi="Book Antiqua" w:cstheme="majorHAnsi"/>
          <w:i/>
          <w:color w:val="auto"/>
          <w:sz w:val="22"/>
          <w:szCs w:val="22"/>
          <w:lang w:val="es-419"/>
        </w:rPr>
        <w:t>s</w:t>
      </w:r>
      <w:r w:rsidRPr="00077D03">
        <w:rPr>
          <w:rFonts w:ascii="Book Antiqua" w:hAnsi="Book Antiqua" w:cstheme="majorHAnsi"/>
          <w:i/>
          <w:color w:val="auto"/>
          <w:sz w:val="22"/>
          <w:szCs w:val="22"/>
          <w:lang w:val="es-419"/>
        </w:rPr>
        <w:t xml:space="preserve"> Contrato</w:t>
      </w:r>
      <w:r w:rsidR="00CC0015">
        <w:rPr>
          <w:rFonts w:ascii="Book Antiqua" w:hAnsi="Book Antiqua" w:cstheme="majorHAnsi"/>
          <w:i/>
          <w:color w:val="auto"/>
          <w:sz w:val="22"/>
          <w:szCs w:val="22"/>
          <w:lang w:val="es-419"/>
        </w:rPr>
        <w:t>s</w:t>
      </w:r>
      <w:r w:rsidRPr="00077D03">
        <w:rPr>
          <w:rFonts w:ascii="Book Antiqua" w:hAnsi="Book Antiqua" w:cstheme="majorHAnsi"/>
          <w:i/>
          <w:color w:val="auto"/>
          <w:sz w:val="22"/>
          <w:szCs w:val="22"/>
          <w:lang w:val="es-419"/>
        </w:rPr>
        <w:t>.</w:t>
      </w:r>
    </w:p>
    <w:p w14:paraId="73BD55F7" w14:textId="368FFB70" w:rsidR="001E55BD" w:rsidRPr="00077D03" w:rsidRDefault="001E55BD" w:rsidP="001E55BD">
      <w:pPr>
        <w:pStyle w:val="Prrafodelista"/>
        <w:numPr>
          <w:ilvl w:val="0"/>
          <w:numId w:val="15"/>
        </w:numPr>
        <w:spacing w:line="276" w:lineRule="auto"/>
        <w:jc w:val="both"/>
        <w:rPr>
          <w:rFonts w:ascii="Book Antiqua" w:hAnsi="Book Antiqua" w:cstheme="majorHAnsi"/>
          <w:i/>
          <w:color w:val="auto"/>
          <w:sz w:val="22"/>
          <w:szCs w:val="22"/>
          <w:lang w:val="es-419"/>
        </w:rPr>
      </w:pPr>
      <w:r w:rsidRPr="00077D03">
        <w:rPr>
          <w:rFonts w:ascii="Book Antiqua" w:hAnsi="Book Antiqua" w:cstheme="majorHAnsi"/>
          <w:i/>
          <w:color w:val="auto"/>
          <w:sz w:val="22"/>
          <w:szCs w:val="22"/>
          <w:lang w:val="es-419"/>
        </w:rPr>
        <w:t>Se autoriza al Tesorero Municipal para que realice los pagos correspondientes a dicho servicio de</w:t>
      </w:r>
      <w:r w:rsidR="007E2A13">
        <w:rPr>
          <w:rFonts w:ascii="Book Antiqua" w:hAnsi="Book Antiqua" w:cstheme="majorHAnsi"/>
          <w:i/>
          <w:color w:val="auto"/>
          <w:sz w:val="22"/>
          <w:szCs w:val="22"/>
          <w:lang w:val="es-419"/>
        </w:rPr>
        <w:t xml:space="preserve"> </w:t>
      </w:r>
      <w:r w:rsidRPr="00077D03">
        <w:rPr>
          <w:rFonts w:ascii="Book Antiqua" w:hAnsi="Book Antiqua" w:cstheme="majorHAnsi"/>
          <w:i/>
          <w:color w:val="auto"/>
          <w:sz w:val="22"/>
          <w:szCs w:val="22"/>
          <w:lang w:val="es-419"/>
        </w:rPr>
        <w:t>l</w:t>
      </w:r>
      <w:r w:rsidR="007E2A13">
        <w:rPr>
          <w:rFonts w:ascii="Book Antiqua" w:hAnsi="Book Antiqua" w:cstheme="majorHAnsi"/>
          <w:i/>
          <w:color w:val="auto"/>
          <w:sz w:val="22"/>
          <w:szCs w:val="22"/>
          <w:lang w:val="es-419"/>
        </w:rPr>
        <w:t>as cuentas corrientes arriba señaladas por los montos correspondientes</w:t>
      </w:r>
      <w:r w:rsidRPr="00077D03">
        <w:rPr>
          <w:rFonts w:ascii="Book Antiqua" w:hAnsi="Book Antiqua" w:cstheme="majorHAnsi"/>
          <w:i/>
          <w:color w:val="auto"/>
          <w:sz w:val="22"/>
          <w:szCs w:val="22"/>
          <w:lang w:val="es-419"/>
        </w:rPr>
        <w:t>.</w:t>
      </w:r>
    </w:p>
    <w:p w14:paraId="4197E203" w14:textId="77777777" w:rsidR="001E55BD" w:rsidRPr="00077D03" w:rsidRDefault="001E55BD" w:rsidP="001E55BD">
      <w:pPr>
        <w:pStyle w:val="Prrafodelista"/>
        <w:numPr>
          <w:ilvl w:val="0"/>
          <w:numId w:val="15"/>
        </w:numPr>
        <w:spacing w:line="276" w:lineRule="auto"/>
        <w:jc w:val="both"/>
        <w:rPr>
          <w:rFonts w:ascii="Book Antiqua" w:hAnsi="Book Antiqua" w:cstheme="majorHAnsi"/>
          <w:i/>
          <w:color w:val="auto"/>
          <w:sz w:val="22"/>
          <w:szCs w:val="22"/>
          <w:lang w:val="es-419"/>
        </w:rPr>
      </w:pPr>
      <w:r w:rsidRPr="00077D03">
        <w:rPr>
          <w:rFonts w:ascii="Book Antiqua" w:hAnsi="Book Antiqua" w:cstheme="majorHAnsi"/>
          <w:i/>
          <w:color w:val="auto"/>
          <w:sz w:val="22"/>
          <w:szCs w:val="22"/>
          <w:lang w:val="es-419"/>
        </w:rPr>
        <w:t>Autorizar a la Encargada de la UACI realizar los trámites de ley correspondientes para la contratación de los servicios.</w:t>
      </w:r>
    </w:p>
    <w:p w14:paraId="7AC65B89" w14:textId="77777777" w:rsidR="001E55BD" w:rsidRPr="00077D03" w:rsidRDefault="001E55BD" w:rsidP="001E55BD">
      <w:pPr>
        <w:pStyle w:val="Prrafodelista"/>
        <w:numPr>
          <w:ilvl w:val="0"/>
          <w:numId w:val="15"/>
        </w:numPr>
        <w:spacing w:line="276" w:lineRule="auto"/>
        <w:jc w:val="both"/>
        <w:rPr>
          <w:rFonts w:ascii="Book Antiqua" w:hAnsi="Book Antiqua" w:cstheme="majorHAnsi"/>
          <w:i/>
          <w:color w:val="auto"/>
          <w:sz w:val="22"/>
          <w:szCs w:val="22"/>
          <w:lang w:val="es-419"/>
        </w:rPr>
      </w:pPr>
      <w:r w:rsidRPr="00077D03">
        <w:rPr>
          <w:rFonts w:ascii="Book Antiqua" w:hAnsi="Book Antiqua" w:cstheme="majorHAnsi"/>
          <w:i/>
          <w:color w:val="auto"/>
          <w:sz w:val="22"/>
          <w:szCs w:val="22"/>
          <w:lang w:val="es-419"/>
        </w:rPr>
        <w:t xml:space="preserve">Se autoriza al Encargado de Presupuesto para modificar o descargar en las cifras correspondientes del presupuesto Municipal vigente. </w:t>
      </w:r>
    </w:p>
    <w:p w14:paraId="26B29DCB" w14:textId="633DAB09" w:rsidR="001E55BD" w:rsidRPr="00D465CF" w:rsidRDefault="001E55BD" w:rsidP="001E55BD">
      <w:pPr>
        <w:pStyle w:val="Prrafodelista"/>
        <w:numPr>
          <w:ilvl w:val="0"/>
          <w:numId w:val="15"/>
        </w:numPr>
        <w:spacing w:line="276" w:lineRule="auto"/>
        <w:jc w:val="both"/>
        <w:rPr>
          <w:rFonts w:ascii="Book Antiqua" w:hAnsi="Book Antiqua" w:cstheme="majorHAnsi"/>
          <w:i/>
          <w:color w:val="auto"/>
          <w:sz w:val="22"/>
          <w:szCs w:val="22"/>
          <w:lang w:val="es-419"/>
        </w:rPr>
      </w:pPr>
      <w:r w:rsidRPr="00077D03">
        <w:rPr>
          <w:rFonts w:ascii="Book Antiqua" w:hAnsi="Book Antiqua" w:cstheme="majorHAnsi"/>
          <w:i/>
          <w:color w:val="auto"/>
          <w:sz w:val="22"/>
          <w:szCs w:val="22"/>
          <w:lang w:val="es-419"/>
        </w:rPr>
        <w:t>Se nombra a</w:t>
      </w:r>
      <w:r w:rsidR="007E2A13">
        <w:rPr>
          <w:rFonts w:ascii="Book Antiqua" w:hAnsi="Book Antiqua" w:cstheme="majorHAnsi"/>
          <w:i/>
          <w:color w:val="auto"/>
          <w:sz w:val="22"/>
          <w:szCs w:val="22"/>
          <w:lang w:val="es-419"/>
        </w:rPr>
        <w:t xml:space="preserve"> </w:t>
      </w:r>
      <w:r w:rsidR="0054298A">
        <w:rPr>
          <w:rFonts w:ascii="Book Antiqua" w:hAnsi="Book Antiqua" w:cstheme="majorHAnsi"/>
          <w:i/>
          <w:color w:val="auto"/>
          <w:sz w:val="22"/>
          <w:szCs w:val="22"/>
          <w:lang w:val="es-419"/>
        </w:rPr>
        <w:t>Yullianna Yasmin Olmedo</w:t>
      </w:r>
      <w:r w:rsidR="00CE18F7">
        <w:rPr>
          <w:rFonts w:ascii="Book Antiqua" w:hAnsi="Book Antiqua" w:cstheme="majorHAnsi"/>
          <w:i/>
          <w:color w:val="auto"/>
          <w:sz w:val="22"/>
          <w:szCs w:val="22"/>
          <w:lang w:val="es-419"/>
        </w:rPr>
        <w:t xml:space="preserve"> de Guillen</w:t>
      </w:r>
      <w:r w:rsidR="007E2A13">
        <w:rPr>
          <w:rFonts w:ascii="Book Antiqua" w:hAnsi="Book Antiqua" w:cstheme="majorHAnsi"/>
          <w:i/>
          <w:color w:val="auto"/>
          <w:sz w:val="22"/>
          <w:szCs w:val="22"/>
          <w:lang w:val="es-419"/>
        </w:rPr>
        <w:t>,</w:t>
      </w:r>
      <w:r w:rsidR="0054298A">
        <w:rPr>
          <w:rFonts w:ascii="Book Antiqua" w:hAnsi="Book Antiqua" w:cstheme="majorHAnsi"/>
          <w:i/>
          <w:color w:val="auto"/>
          <w:sz w:val="22"/>
          <w:szCs w:val="22"/>
          <w:lang w:val="es-419"/>
        </w:rPr>
        <w:t xml:space="preserve"> </w:t>
      </w:r>
      <w:r w:rsidR="007E2A13">
        <w:rPr>
          <w:rFonts w:ascii="Book Antiqua" w:hAnsi="Book Antiqua" w:cstheme="majorHAnsi"/>
          <w:i/>
          <w:color w:val="auto"/>
          <w:sz w:val="22"/>
          <w:szCs w:val="22"/>
          <w:lang w:val="es-419"/>
        </w:rPr>
        <w:t>Encargada de la Unidad de la Niñez, Adolescencia y Juventus</w:t>
      </w:r>
      <w:r w:rsidRPr="00077D03">
        <w:rPr>
          <w:rFonts w:ascii="Book Antiqua" w:hAnsi="Book Antiqua" w:cstheme="majorHAnsi"/>
          <w:i/>
          <w:color w:val="auto"/>
          <w:sz w:val="22"/>
          <w:szCs w:val="22"/>
          <w:lang w:val="es-419"/>
        </w:rPr>
        <w:t>, como Administrador</w:t>
      </w:r>
      <w:r w:rsidR="007E2A13">
        <w:rPr>
          <w:rFonts w:ascii="Book Antiqua" w:hAnsi="Book Antiqua" w:cstheme="majorHAnsi"/>
          <w:i/>
          <w:color w:val="auto"/>
          <w:sz w:val="22"/>
          <w:szCs w:val="22"/>
          <w:lang w:val="es-419"/>
        </w:rPr>
        <w:t>a</w:t>
      </w:r>
      <w:r w:rsidRPr="00077D03">
        <w:rPr>
          <w:rFonts w:ascii="Book Antiqua" w:hAnsi="Book Antiqua" w:cstheme="majorHAnsi"/>
          <w:i/>
          <w:color w:val="auto"/>
          <w:sz w:val="22"/>
          <w:szCs w:val="22"/>
          <w:lang w:val="es-419"/>
        </w:rPr>
        <w:t xml:space="preserve"> de</w:t>
      </w:r>
      <w:r w:rsidR="007E2A13">
        <w:rPr>
          <w:rFonts w:ascii="Book Antiqua" w:hAnsi="Book Antiqua" w:cstheme="majorHAnsi"/>
          <w:i/>
          <w:color w:val="auto"/>
          <w:sz w:val="22"/>
          <w:szCs w:val="22"/>
          <w:lang w:val="es-419"/>
        </w:rPr>
        <w:t xml:space="preserve"> </w:t>
      </w:r>
      <w:r w:rsidRPr="00077D03">
        <w:rPr>
          <w:rFonts w:ascii="Book Antiqua" w:hAnsi="Book Antiqua" w:cstheme="majorHAnsi"/>
          <w:i/>
          <w:color w:val="auto"/>
          <w:sz w:val="22"/>
          <w:szCs w:val="22"/>
          <w:lang w:val="es-419"/>
        </w:rPr>
        <w:t>l</w:t>
      </w:r>
      <w:r w:rsidR="007E2A13">
        <w:rPr>
          <w:rFonts w:ascii="Book Antiqua" w:hAnsi="Book Antiqua" w:cstheme="majorHAnsi"/>
          <w:i/>
          <w:color w:val="auto"/>
          <w:sz w:val="22"/>
          <w:szCs w:val="22"/>
          <w:lang w:val="es-419"/>
        </w:rPr>
        <w:t>os</w:t>
      </w:r>
      <w:r w:rsidRPr="00077D03">
        <w:rPr>
          <w:rFonts w:ascii="Book Antiqua" w:hAnsi="Book Antiqua" w:cstheme="majorHAnsi"/>
          <w:i/>
          <w:color w:val="auto"/>
          <w:sz w:val="22"/>
          <w:szCs w:val="22"/>
          <w:lang w:val="es-419"/>
        </w:rPr>
        <w:t xml:space="preserve"> referido</w:t>
      </w:r>
      <w:r w:rsidR="007E2A13">
        <w:rPr>
          <w:rFonts w:ascii="Book Antiqua" w:hAnsi="Book Antiqua" w:cstheme="majorHAnsi"/>
          <w:i/>
          <w:color w:val="auto"/>
          <w:sz w:val="22"/>
          <w:szCs w:val="22"/>
          <w:lang w:val="es-419"/>
        </w:rPr>
        <w:t xml:space="preserve">s </w:t>
      </w:r>
      <w:r w:rsidRPr="00077D03">
        <w:rPr>
          <w:rFonts w:ascii="Book Antiqua" w:hAnsi="Book Antiqua" w:cstheme="majorHAnsi"/>
          <w:i/>
          <w:color w:val="auto"/>
          <w:sz w:val="22"/>
          <w:szCs w:val="22"/>
          <w:lang w:val="es-419"/>
        </w:rPr>
        <w:t>Contrato</w:t>
      </w:r>
      <w:r w:rsidR="007E2A13">
        <w:rPr>
          <w:rFonts w:ascii="Book Antiqua" w:hAnsi="Book Antiqua" w:cstheme="majorHAnsi"/>
          <w:i/>
          <w:color w:val="auto"/>
          <w:sz w:val="22"/>
          <w:szCs w:val="22"/>
          <w:lang w:val="es-419"/>
        </w:rPr>
        <w:t>s</w:t>
      </w:r>
      <w:r w:rsidRPr="00077D03">
        <w:rPr>
          <w:rFonts w:ascii="Book Antiqua" w:hAnsi="Book Antiqua" w:cstheme="majorHAnsi"/>
          <w:i/>
          <w:color w:val="auto"/>
          <w:sz w:val="22"/>
          <w:szCs w:val="22"/>
          <w:lang w:val="es-419"/>
        </w:rPr>
        <w:t xml:space="preserve">. </w:t>
      </w:r>
      <w:r w:rsidRPr="00077D03">
        <w:rPr>
          <w:rFonts w:ascii="Book Antiqua" w:hAnsi="Book Antiqua" w:cstheme="majorHAnsi"/>
          <w:b/>
          <w:i/>
          <w:color w:val="auto"/>
          <w:sz w:val="22"/>
          <w:szCs w:val="22"/>
          <w:lang w:val="es-419"/>
        </w:rPr>
        <w:t xml:space="preserve">Certifíquese y comuníquese. </w:t>
      </w:r>
      <w:r>
        <w:rPr>
          <w:rFonts w:ascii="Book Antiqua" w:hAnsi="Book Antiqua" w:cstheme="majorHAnsi"/>
          <w:b/>
          <w:i/>
          <w:color w:val="auto"/>
          <w:sz w:val="22"/>
          <w:szCs w:val="22"/>
          <w:lang w:val="es-419"/>
        </w:rPr>
        <w:t>–</w:t>
      </w:r>
    </w:p>
    <w:p w14:paraId="40434978" w14:textId="77777777" w:rsidR="00E558EF" w:rsidRPr="00A61A17" w:rsidRDefault="00E558EF" w:rsidP="00E558EF">
      <w:pPr>
        <w:spacing w:line="276" w:lineRule="auto"/>
        <w:contextualSpacing/>
        <w:jc w:val="both"/>
        <w:rPr>
          <w:rFonts w:ascii="Book Antiqua" w:hAnsi="Book Antiqua" w:cs="Calibri Light"/>
          <w:i/>
          <w:color w:val="auto"/>
          <w:sz w:val="22"/>
          <w:szCs w:val="22"/>
        </w:rPr>
      </w:pPr>
      <w:r w:rsidRPr="00A61A17">
        <w:rPr>
          <w:rFonts w:ascii="Book Antiqua" w:hAnsi="Book Antiqua" w:cs="Calibri Light"/>
          <w:i/>
          <w:color w:val="auto"/>
          <w:sz w:val="22"/>
          <w:szCs w:val="22"/>
        </w:rPr>
        <w:t>Y no habiendo más que hacer constar, se da por finalizada la presente acta, la cual firmamos.</w:t>
      </w:r>
    </w:p>
    <w:p w14:paraId="70665DCD" w14:textId="77777777" w:rsidR="00E558EF" w:rsidRPr="00E558EF" w:rsidRDefault="00E558EF" w:rsidP="00E558EF">
      <w:pPr>
        <w:spacing w:line="276" w:lineRule="auto"/>
        <w:contextualSpacing/>
        <w:jc w:val="both"/>
        <w:rPr>
          <w:rFonts w:ascii="Book Antiqua" w:hAnsi="Book Antiqua" w:cs="Calibri Light"/>
          <w:i/>
          <w:color w:val="aut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558EF" w:rsidRPr="00A61A17" w14:paraId="280FD063" w14:textId="77777777" w:rsidTr="005150CA">
        <w:trPr>
          <w:jc w:val="center"/>
        </w:trPr>
        <w:tc>
          <w:tcPr>
            <w:tcW w:w="8828" w:type="dxa"/>
            <w:gridSpan w:val="2"/>
            <w:vAlign w:val="center"/>
          </w:tcPr>
          <w:p w14:paraId="2229802E"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50BDB0C3"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183311D1"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7A3F44C1"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683DAB67"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Sr. Omar Josué Pineda Rodríguez</w:t>
            </w:r>
          </w:p>
          <w:p w14:paraId="20E58209"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Alcalde Municipal</w:t>
            </w:r>
          </w:p>
          <w:p w14:paraId="1FBA512A"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49C86D15"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290D9AA4"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09F26185"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3293D9EC"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Lic. José Gilberto Álvarez Pérez</w:t>
            </w:r>
          </w:p>
          <w:p w14:paraId="6D1C0BD2"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Síndico Municipal</w:t>
            </w:r>
          </w:p>
          <w:p w14:paraId="67FE765E"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tc>
      </w:tr>
      <w:tr w:rsidR="00E558EF" w:rsidRPr="00A61A17" w14:paraId="57F2AEA5" w14:textId="77777777" w:rsidTr="005150CA">
        <w:trPr>
          <w:jc w:val="center"/>
        </w:trPr>
        <w:tc>
          <w:tcPr>
            <w:tcW w:w="4414" w:type="dxa"/>
            <w:vAlign w:val="center"/>
          </w:tcPr>
          <w:p w14:paraId="01BA3073"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5EE14E05"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047AF009"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7B57480E"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5E744987"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Sr. Víctor Manuel Ramírez Martínez</w:t>
            </w:r>
          </w:p>
          <w:p w14:paraId="2E35B768"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Primer Regidor Propietario</w:t>
            </w:r>
          </w:p>
        </w:tc>
        <w:tc>
          <w:tcPr>
            <w:tcW w:w="4414" w:type="dxa"/>
            <w:vAlign w:val="center"/>
          </w:tcPr>
          <w:p w14:paraId="5DC9D1D1"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2283323E"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1E2B3CE8"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7BCC5596"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68FC5C5E"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Sra. Delmy Jeanette González Deras</w:t>
            </w:r>
          </w:p>
          <w:p w14:paraId="34706C2C"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Segunda Regidora Propietaria</w:t>
            </w:r>
          </w:p>
        </w:tc>
      </w:tr>
      <w:tr w:rsidR="00E558EF" w:rsidRPr="00A61A17" w14:paraId="7B42F893" w14:textId="77777777" w:rsidTr="005150CA">
        <w:trPr>
          <w:jc w:val="center"/>
        </w:trPr>
        <w:tc>
          <w:tcPr>
            <w:tcW w:w="4414" w:type="dxa"/>
            <w:vAlign w:val="center"/>
          </w:tcPr>
          <w:p w14:paraId="1422E7E8"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1A275B57"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72E7EAF3"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462D5E05"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557CB577"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Sra. Claudia del Carmen González González</w:t>
            </w:r>
          </w:p>
          <w:p w14:paraId="2C4A734B"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Tercera Regidora Propietaria</w:t>
            </w:r>
          </w:p>
        </w:tc>
        <w:tc>
          <w:tcPr>
            <w:tcW w:w="4414" w:type="dxa"/>
            <w:vAlign w:val="center"/>
          </w:tcPr>
          <w:p w14:paraId="3F35CEA6"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0E459E4F"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1FD6F4AC"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14753843"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6FFC2AA5"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Sra.  Margarita Reyna Pérez Jirón</w:t>
            </w:r>
          </w:p>
          <w:p w14:paraId="37FCE0A5"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Cuarta Regidora Propietaria</w:t>
            </w:r>
          </w:p>
        </w:tc>
      </w:tr>
      <w:tr w:rsidR="00E558EF" w:rsidRPr="00A61A17" w14:paraId="77F65EB3" w14:textId="77777777" w:rsidTr="005150CA">
        <w:trPr>
          <w:jc w:val="center"/>
        </w:trPr>
        <w:tc>
          <w:tcPr>
            <w:tcW w:w="4414" w:type="dxa"/>
            <w:vAlign w:val="center"/>
          </w:tcPr>
          <w:p w14:paraId="5347090D"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6733160E"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2DE20B3A"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53D57860"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3F77DF94"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Sra. Alba Maritza Juárez Torres</w:t>
            </w:r>
          </w:p>
          <w:p w14:paraId="74C90F66"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Quinta Regidora Propietaria</w:t>
            </w:r>
          </w:p>
        </w:tc>
        <w:tc>
          <w:tcPr>
            <w:tcW w:w="4414" w:type="dxa"/>
            <w:vAlign w:val="center"/>
          </w:tcPr>
          <w:p w14:paraId="6060A5B4"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76C1C8B9"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033E555A"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095CFFCB"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4FCDB4A9"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Sra. Maritza del Carmen Lovos Crespín</w:t>
            </w:r>
          </w:p>
          <w:p w14:paraId="2198A4C8"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Sexta Regidora Propietaria</w:t>
            </w:r>
          </w:p>
        </w:tc>
      </w:tr>
      <w:tr w:rsidR="00E558EF" w:rsidRPr="00A61A17" w14:paraId="0520A5B4" w14:textId="77777777" w:rsidTr="005150CA">
        <w:trPr>
          <w:jc w:val="center"/>
        </w:trPr>
        <w:tc>
          <w:tcPr>
            <w:tcW w:w="4414" w:type="dxa"/>
            <w:vAlign w:val="center"/>
          </w:tcPr>
          <w:p w14:paraId="419BF542"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171CC51D"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661D8EB6" w14:textId="77777777" w:rsidR="00E558EF" w:rsidRDefault="00E558EF" w:rsidP="005150CA">
            <w:pPr>
              <w:spacing w:line="276" w:lineRule="auto"/>
              <w:contextualSpacing/>
              <w:jc w:val="center"/>
              <w:rPr>
                <w:rFonts w:ascii="Book Antiqua" w:hAnsi="Book Antiqua" w:cs="Calibri Light"/>
                <w:i/>
                <w:color w:val="auto"/>
                <w:sz w:val="22"/>
                <w:szCs w:val="22"/>
              </w:rPr>
            </w:pPr>
          </w:p>
          <w:p w14:paraId="2200842B" w14:textId="77777777" w:rsidR="0048123E" w:rsidRDefault="0048123E" w:rsidP="005150CA">
            <w:pPr>
              <w:spacing w:line="276" w:lineRule="auto"/>
              <w:contextualSpacing/>
              <w:jc w:val="center"/>
              <w:rPr>
                <w:rFonts w:ascii="Book Antiqua" w:hAnsi="Book Antiqua" w:cs="Calibri Light"/>
                <w:i/>
                <w:color w:val="auto"/>
                <w:sz w:val="22"/>
                <w:szCs w:val="22"/>
              </w:rPr>
            </w:pPr>
          </w:p>
          <w:p w14:paraId="5830A7D2" w14:textId="77777777" w:rsidR="0048123E" w:rsidRPr="00A61A17" w:rsidRDefault="0048123E" w:rsidP="005150CA">
            <w:pPr>
              <w:spacing w:line="276" w:lineRule="auto"/>
              <w:contextualSpacing/>
              <w:jc w:val="center"/>
              <w:rPr>
                <w:rFonts w:ascii="Book Antiqua" w:hAnsi="Book Antiqua" w:cs="Calibri Light"/>
                <w:i/>
                <w:color w:val="auto"/>
                <w:sz w:val="22"/>
                <w:szCs w:val="22"/>
              </w:rPr>
            </w:pPr>
          </w:p>
          <w:p w14:paraId="16F8D953"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Sr. Israel Antonio Pérez López</w:t>
            </w:r>
          </w:p>
          <w:p w14:paraId="63B60CA2"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Primer Regidor Suplente</w:t>
            </w:r>
          </w:p>
        </w:tc>
        <w:tc>
          <w:tcPr>
            <w:tcW w:w="4414" w:type="dxa"/>
            <w:vAlign w:val="center"/>
          </w:tcPr>
          <w:p w14:paraId="20D31118"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5C4384E2"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254DB0AA"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307F2614" w14:textId="77777777" w:rsidR="00E558EF" w:rsidRDefault="00E558EF" w:rsidP="005150CA">
            <w:pPr>
              <w:spacing w:line="276" w:lineRule="auto"/>
              <w:contextualSpacing/>
              <w:jc w:val="center"/>
              <w:rPr>
                <w:rFonts w:ascii="Book Antiqua" w:hAnsi="Book Antiqua" w:cs="Calibri Light"/>
                <w:i/>
                <w:color w:val="auto"/>
                <w:sz w:val="22"/>
                <w:szCs w:val="22"/>
              </w:rPr>
            </w:pPr>
          </w:p>
          <w:p w14:paraId="583A5EA5" w14:textId="77777777" w:rsidR="0048123E" w:rsidRPr="00A61A17" w:rsidRDefault="0048123E" w:rsidP="0048123E">
            <w:pPr>
              <w:spacing w:line="276" w:lineRule="auto"/>
              <w:contextualSpacing/>
              <w:jc w:val="center"/>
              <w:rPr>
                <w:rFonts w:ascii="Book Antiqua" w:hAnsi="Book Antiqua" w:cs="Calibri Light"/>
                <w:i/>
                <w:color w:val="auto"/>
                <w:sz w:val="22"/>
                <w:szCs w:val="22"/>
              </w:rPr>
            </w:pPr>
          </w:p>
          <w:p w14:paraId="18E48936"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 xml:space="preserve">Sr.  </w:t>
            </w:r>
            <w:bookmarkStart w:id="1" w:name="_Hlk122349950"/>
            <w:r w:rsidRPr="00A61A17">
              <w:rPr>
                <w:rFonts w:ascii="Book Antiqua" w:hAnsi="Book Antiqua" w:cs="Calibri Light"/>
                <w:i/>
                <w:color w:val="auto"/>
                <w:sz w:val="22"/>
                <w:szCs w:val="22"/>
              </w:rPr>
              <w:t>Sarbelio Valentín Callejas Monge</w:t>
            </w:r>
            <w:bookmarkEnd w:id="1"/>
          </w:p>
          <w:p w14:paraId="12709C16"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Segundo Regidor Suplente</w:t>
            </w:r>
          </w:p>
        </w:tc>
      </w:tr>
      <w:tr w:rsidR="00E558EF" w:rsidRPr="00A61A17" w14:paraId="410D8061" w14:textId="77777777" w:rsidTr="005150CA">
        <w:trPr>
          <w:jc w:val="center"/>
        </w:trPr>
        <w:tc>
          <w:tcPr>
            <w:tcW w:w="4414" w:type="dxa"/>
            <w:vAlign w:val="center"/>
          </w:tcPr>
          <w:p w14:paraId="50819639"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166CEC84"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6BBA3554" w14:textId="77777777" w:rsidR="00E558EF" w:rsidRPr="00A61A17" w:rsidRDefault="00E558EF" w:rsidP="0048123E">
            <w:pPr>
              <w:spacing w:line="276" w:lineRule="auto"/>
              <w:contextualSpacing/>
              <w:jc w:val="center"/>
              <w:rPr>
                <w:rFonts w:ascii="Book Antiqua" w:hAnsi="Book Antiqua" w:cs="Calibri Light"/>
                <w:i/>
                <w:color w:val="auto"/>
                <w:sz w:val="22"/>
                <w:szCs w:val="22"/>
              </w:rPr>
            </w:pPr>
          </w:p>
          <w:p w14:paraId="619CCC41"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5754B374"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Sr. José Tomas Sánchez García</w:t>
            </w:r>
          </w:p>
          <w:p w14:paraId="67753ACF"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Tercer Regidor Suplente</w:t>
            </w:r>
          </w:p>
        </w:tc>
        <w:tc>
          <w:tcPr>
            <w:tcW w:w="4414" w:type="dxa"/>
            <w:vAlign w:val="center"/>
          </w:tcPr>
          <w:p w14:paraId="175E16F4"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0FA35CDE"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092E7C68"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57674765"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p>
          <w:p w14:paraId="302ACE93" w14:textId="0E11EB9C"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Lic. Oscar Armando Díaz Mejía</w:t>
            </w:r>
          </w:p>
          <w:p w14:paraId="7543B1EB" w14:textId="77777777" w:rsidR="00E558EF" w:rsidRPr="00A61A17" w:rsidRDefault="00E558EF" w:rsidP="005150CA">
            <w:pPr>
              <w:spacing w:line="276" w:lineRule="auto"/>
              <w:contextualSpacing/>
              <w:jc w:val="center"/>
              <w:rPr>
                <w:rFonts w:ascii="Book Antiqua" w:hAnsi="Book Antiqua" w:cs="Calibri Light"/>
                <w:i/>
                <w:color w:val="auto"/>
                <w:sz w:val="22"/>
                <w:szCs w:val="22"/>
              </w:rPr>
            </w:pPr>
            <w:r w:rsidRPr="00A61A17">
              <w:rPr>
                <w:rFonts w:ascii="Book Antiqua" w:hAnsi="Book Antiqua" w:cs="Calibri Light"/>
                <w:i/>
                <w:color w:val="auto"/>
                <w:sz w:val="22"/>
                <w:szCs w:val="22"/>
              </w:rPr>
              <w:t>Cuarto Regidor Suplente</w:t>
            </w:r>
          </w:p>
        </w:tc>
      </w:tr>
    </w:tbl>
    <w:p w14:paraId="3E02D464" w14:textId="77777777" w:rsidR="00E558EF" w:rsidRPr="00A61A17" w:rsidRDefault="00E558EF" w:rsidP="00E558EF">
      <w:pPr>
        <w:spacing w:line="276" w:lineRule="auto"/>
        <w:contextualSpacing/>
        <w:jc w:val="both"/>
        <w:rPr>
          <w:rFonts w:ascii="Book Antiqua" w:hAnsi="Book Antiqua" w:cs="Calibri Light"/>
          <w:i/>
          <w:color w:val="auto"/>
          <w:sz w:val="22"/>
          <w:szCs w:val="22"/>
        </w:rPr>
      </w:pPr>
    </w:p>
    <w:p w14:paraId="0D9AE14A" w14:textId="77777777" w:rsidR="00E558EF" w:rsidRPr="00A61A17" w:rsidRDefault="00E558EF" w:rsidP="00E558EF">
      <w:pPr>
        <w:spacing w:line="276" w:lineRule="auto"/>
        <w:contextualSpacing/>
        <w:jc w:val="both"/>
        <w:rPr>
          <w:rFonts w:ascii="Book Antiqua" w:hAnsi="Book Antiqua" w:cs="Calibri Light"/>
          <w:i/>
          <w:color w:val="auto"/>
          <w:sz w:val="22"/>
          <w:szCs w:val="22"/>
        </w:rPr>
      </w:pPr>
    </w:p>
    <w:p w14:paraId="09C18903" w14:textId="77777777" w:rsidR="00E558EF" w:rsidRPr="00A61A17" w:rsidRDefault="00E558EF" w:rsidP="00E558EF">
      <w:pPr>
        <w:spacing w:line="276" w:lineRule="auto"/>
        <w:contextualSpacing/>
        <w:jc w:val="both"/>
        <w:rPr>
          <w:rFonts w:ascii="Book Antiqua" w:hAnsi="Book Antiqua" w:cs="Calibri Light"/>
          <w:i/>
          <w:color w:val="auto"/>
          <w:sz w:val="22"/>
          <w:szCs w:val="22"/>
        </w:rPr>
      </w:pPr>
    </w:p>
    <w:p w14:paraId="60B1E33F" w14:textId="77777777" w:rsidR="00E558EF" w:rsidRPr="00A61A17" w:rsidRDefault="00E558EF" w:rsidP="00E558EF">
      <w:pPr>
        <w:spacing w:line="276" w:lineRule="auto"/>
        <w:contextualSpacing/>
        <w:jc w:val="both"/>
        <w:rPr>
          <w:rFonts w:ascii="Book Antiqua" w:hAnsi="Book Antiqua" w:cs="Calibri Light"/>
          <w:i/>
          <w:color w:val="auto"/>
          <w:sz w:val="22"/>
          <w:szCs w:val="22"/>
        </w:rPr>
      </w:pPr>
    </w:p>
    <w:p w14:paraId="2367D9B4" w14:textId="77777777" w:rsidR="00E558EF" w:rsidRPr="00A61A17" w:rsidRDefault="00E558EF" w:rsidP="00E558EF">
      <w:pPr>
        <w:spacing w:line="276" w:lineRule="auto"/>
        <w:contextualSpacing/>
        <w:jc w:val="both"/>
        <w:rPr>
          <w:rFonts w:ascii="Book Antiqua" w:hAnsi="Book Antiqua" w:cs="Calibri Light"/>
          <w:i/>
          <w:color w:val="auto"/>
          <w:sz w:val="22"/>
          <w:szCs w:val="22"/>
        </w:rPr>
      </w:pPr>
    </w:p>
    <w:p w14:paraId="6217A4DB" w14:textId="77777777" w:rsidR="00E558EF" w:rsidRPr="00A61A17" w:rsidRDefault="00E558EF" w:rsidP="00E558EF">
      <w:pPr>
        <w:spacing w:line="276" w:lineRule="auto"/>
        <w:contextualSpacing/>
        <w:jc w:val="both"/>
        <w:rPr>
          <w:rFonts w:ascii="Book Antiqua" w:hAnsi="Book Antiqua" w:cs="Calibri Light"/>
          <w:i/>
          <w:color w:val="auto"/>
          <w:sz w:val="22"/>
          <w:szCs w:val="22"/>
        </w:rPr>
      </w:pPr>
    </w:p>
    <w:p w14:paraId="401C56ED" w14:textId="1236F868" w:rsidR="00E558EF" w:rsidRPr="00A61A17" w:rsidRDefault="0039215C" w:rsidP="00E558EF">
      <w:pPr>
        <w:spacing w:line="276" w:lineRule="auto"/>
        <w:contextualSpacing/>
        <w:jc w:val="center"/>
        <w:rPr>
          <w:rFonts w:ascii="Book Antiqua" w:hAnsi="Book Antiqua" w:cs="Calibri Light"/>
          <w:i/>
          <w:color w:val="auto"/>
          <w:sz w:val="22"/>
          <w:szCs w:val="22"/>
        </w:rPr>
      </w:pPr>
      <w:r>
        <w:rPr>
          <w:rFonts w:ascii="Book Antiqua" w:hAnsi="Book Antiqua" w:cs="Calibri Light"/>
          <w:i/>
          <w:color w:val="auto"/>
          <w:sz w:val="22"/>
          <w:szCs w:val="22"/>
        </w:rPr>
        <w:t>XXXX XXXX XXXX XXXX</w:t>
      </w:r>
    </w:p>
    <w:p w14:paraId="1A3F951F" w14:textId="77777777" w:rsidR="00E558EF" w:rsidRPr="00A61A17" w:rsidRDefault="00E558EF" w:rsidP="00E558EF">
      <w:pPr>
        <w:spacing w:line="276" w:lineRule="auto"/>
        <w:contextualSpacing/>
        <w:jc w:val="center"/>
        <w:rPr>
          <w:color w:val="auto"/>
          <w:sz w:val="22"/>
          <w:szCs w:val="22"/>
        </w:rPr>
      </w:pPr>
      <w:r w:rsidRPr="00A61A17">
        <w:rPr>
          <w:rFonts w:ascii="Book Antiqua" w:hAnsi="Book Antiqua" w:cs="Calibri Light"/>
          <w:i/>
          <w:color w:val="auto"/>
          <w:sz w:val="22"/>
          <w:szCs w:val="22"/>
        </w:rPr>
        <w:t>Secretario Municipal Ad-honorem</w:t>
      </w:r>
    </w:p>
    <w:p w14:paraId="144883A2" w14:textId="77777777" w:rsidR="00E558EF" w:rsidRPr="00A61A17" w:rsidRDefault="00E558EF" w:rsidP="00E558EF">
      <w:pPr>
        <w:spacing w:line="276" w:lineRule="auto"/>
        <w:contextualSpacing/>
        <w:jc w:val="both"/>
        <w:rPr>
          <w:rFonts w:ascii="Arial" w:hAnsi="Arial" w:cs="Arial"/>
          <w:color w:val="auto"/>
          <w:sz w:val="22"/>
          <w:szCs w:val="22"/>
        </w:rPr>
      </w:pPr>
    </w:p>
    <w:p w14:paraId="3D1F21B6" w14:textId="77777777" w:rsidR="00884F17" w:rsidRPr="00A61A17" w:rsidRDefault="00884F17" w:rsidP="00187D74">
      <w:pPr>
        <w:spacing w:line="276" w:lineRule="auto"/>
        <w:jc w:val="both"/>
        <w:rPr>
          <w:rFonts w:ascii="Book Antiqua" w:hAnsi="Book Antiqua" w:cstheme="majorHAnsi"/>
          <w:bCs/>
          <w:i/>
          <w:color w:val="auto"/>
          <w:sz w:val="22"/>
          <w:szCs w:val="22"/>
          <w:lang w:val="es-ES_tradnl"/>
        </w:rPr>
      </w:pPr>
    </w:p>
    <w:sectPr w:rsidR="00884F17" w:rsidRPr="00A61A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903E" w14:textId="77777777" w:rsidR="0022612D" w:rsidRDefault="0022612D" w:rsidP="00D713EF">
      <w:r>
        <w:separator/>
      </w:r>
    </w:p>
  </w:endnote>
  <w:endnote w:type="continuationSeparator" w:id="0">
    <w:p w14:paraId="0DDCB2A7" w14:textId="77777777" w:rsidR="0022612D" w:rsidRDefault="0022612D" w:rsidP="00D7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9044" w14:textId="77777777" w:rsidR="0022612D" w:rsidRDefault="0022612D" w:rsidP="00D713EF">
      <w:r>
        <w:separator/>
      </w:r>
    </w:p>
  </w:footnote>
  <w:footnote w:type="continuationSeparator" w:id="0">
    <w:p w14:paraId="486388E8" w14:textId="77777777" w:rsidR="0022612D" w:rsidRDefault="0022612D" w:rsidP="00D71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C83"/>
    <w:multiLevelType w:val="hybridMultilevel"/>
    <w:tmpl w:val="F29007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B357FC"/>
    <w:multiLevelType w:val="hybridMultilevel"/>
    <w:tmpl w:val="9DC6661E"/>
    <w:lvl w:ilvl="0" w:tplc="0AFCD52C">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E636DDB"/>
    <w:multiLevelType w:val="hybridMultilevel"/>
    <w:tmpl w:val="F8149B2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43370AB"/>
    <w:multiLevelType w:val="hybridMultilevel"/>
    <w:tmpl w:val="0B3C375A"/>
    <w:lvl w:ilvl="0" w:tplc="FF1C6C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5987C43"/>
    <w:multiLevelType w:val="hybridMultilevel"/>
    <w:tmpl w:val="71123D2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60C5D07"/>
    <w:multiLevelType w:val="hybridMultilevel"/>
    <w:tmpl w:val="CF64BCE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7A10B34"/>
    <w:multiLevelType w:val="hybridMultilevel"/>
    <w:tmpl w:val="5D7CBA78"/>
    <w:lvl w:ilvl="0" w:tplc="250486D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B675350"/>
    <w:multiLevelType w:val="hybridMultilevel"/>
    <w:tmpl w:val="C58405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70874A3"/>
    <w:multiLevelType w:val="hybridMultilevel"/>
    <w:tmpl w:val="F29007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3F79FB"/>
    <w:multiLevelType w:val="hybridMultilevel"/>
    <w:tmpl w:val="37422EC2"/>
    <w:lvl w:ilvl="0" w:tplc="783644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0E6583B"/>
    <w:multiLevelType w:val="hybridMultilevel"/>
    <w:tmpl w:val="F29007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CC77B84"/>
    <w:multiLevelType w:val="hybridMultilevel"/>
    <w:tmpl w:val="F290078C"/>
    <w:lvl w:ilvl="0" w:tplc="D4F8B2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0E21739"/>
    <w:multiLevelType w:val="hybridMultilevel"/>
    <w:tmpl w:val="6EA29F1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68C4863"/>
    <w:multiLevelType w:val="hybridMultilevel"/>
    <w:tmpl w:val="982EBED2"/>
    <w:lvl w:ilvl="0" w:tplc="440A000F">
      <w:start w:val="1"/>
      <w:numFmt w:val="decimal"/>
      <w:lvlText w:val="%1."/>
      <w:lvlJc w:val="left"/>
      <w:pPr>
        <w:ind w:left="630" w:hanging="360"/>
      </w:p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4" w15:restartNumberingAfterBreak="0">
    <w:nsid w:val="6C2C2BE4"/>
    <w:multiLevelType w:val="hybridMultilevel"/>
    <w:tmpl w:val="FC7A6548"/>
    <w:lvl w:ilvl="0" w:tplc="6B82BA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727608754">
    <w:abstractNumId w:val="11"/>
  </w:num>
  <w:num w:numId="2" w16cid:durableId="1524858565">
    <w:abstractNumId w:val="6"/>
  </w:num>
  <w:num w:numId="3" w16cid:durableId="266893149">
    <w:abstractNumId w:val="10"/>
  </w:num>
  <w:num w:numId="4" w16cid:durableId="327943757">
    <w:abstractNumId w:val="5"/>
  </w:num>
  <w:num w:numId="5" w16cid:durableId="1419207954">
    <w:abstractNumId w:val="8"/>
  </w:num>
  <w:num w:numId="6" w16cid:durableId="2064911288">
    <w:abstractNumId w:val="12"/>
  </w:num>
  <w:num w:numId="7" w16cid:durableId="500658209">
    <w:abstractNumId w:val="2"/>
  </w:num>
  <w:num w:numId="8" w16cid:durableId="1615014300">
    <w:abstractNumId w:val="0"/>
  </w:num>
  <w:num w:numId="9" w16cid:durableId="1480075668">
    <w:abstractNumId w:val="9"/>
  </w:num>
  <w:num w:numId="10" w16cid:durableId="1432361282">
    <w:abstractNumId w:val="4"/>
  </w:num>
  <w:num w:numId="11" w16cid:durableId="1872957699">
    <w:abstractNumId w:val="13"/>
  </w:num>
  <w:num w:numId="12" w16cid:durableId="361251620">
    <w:abstractNumId w:val="3"/>
  </w:num>
  <w:num w:numId="13" w16cid:durableId="1579052072">
    <w:abstractNumId w:val="7"/>
  </w:num>
  <w:num w:numId="14" w16cid:durableId="413404479">
    <w:abstractNumId w:val="1"/>
  </w:num>
  <w:num w:numId="15" w16cid:durableId="5621097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0B"/>
    <w:rsid w:val="000B1C83"/>
    <w:rsid w:val="000B270F"/>
    <w:rsid w:val="000B7FE2"/>
    <w:rsid w:val="000E570B"/>
    <w:rsid w:val="001107FB"/>
    <w:rsid w:val="0013348F"/>
    <w:rsid w:val="00174D28"/>
    <w:rsid w:val="00187D74"/>
    <w:rsid w:val="00193483"/>
    <w:rsid w:val="001C0A05"/>
    <w:rsid w:val="001E55BD"/>
    <w:rsid w:val="00216456"/>
    <w:rsid w:val="0022612D"/>
    <w:rsid w:val="002400CD"/>
    <w:rsid w:val="00270738"/>
    <w:rsid w:val="003051D5"/>
    <w:rsid w:val="00311168"/>
    <w:rsid w:val="00324954"/>
    <w:rsid w:val="00333685"/>
    <w:rsid w:val="0034460D"/>
    <w:rsid w:val="003628E7"/>
    <w:rsid w:val="00366906"/>
    <w:rsid w:val="0039215C"/>
    <w:rsid w:val="003C14B3"/>
    <w:rsid w:val="0048123E"/>
    <w:rsid w:val="004E53F0"/>
    <w:rsid w:val="00511304"/>
    <w:rsid w:val="0054298A"/>
    <w:rsid w:val="005E4C9A"/>
    <w:rsid w:val="00635449"/>
    <w:rsid w:val="00636ACB"/>
    <w:rsid w:val="00654470"/>
    <w:rsid w:val="00665081"/>
    <w:rsid w:val="00695888"/>
    <w:rsid w:val="006D1D64"/>
    <w:rsid w:val="006E69CA"/>
    <w:rsid w:val="006F47EC"/>
    <w:rsid w:val="00701F4F"/>
    <w:rsid w:val="007229FB"/>
    <w:rsid w:val="00732779"/>
    <w:rsid w:val="007D452F"/>
    <w:rsid w:val="007E2A13"/>
    <w:rsid w:val="008154D6"/>
    <w:rsid w:val="00822444"/>
    <w:rsid w:val="00831D00"/>
    <w:rsid w:val="00884F17"/>
    <w:rsid w:val="00892747"/>
    <w:rsid w:val="008B3F37"/>
    <w:rsid w:val="008F63A8"/>
    <w:rsid w:val="0092715B"/>
    <w:rsid w:val="009628AC"/>
    <w:rsid w:val="00963713"/>
    <w:rsid w:val="009E79A7"/>
    <w:rsid w:val="009E7F96"/>
    <w:rsid w:val="00A23677"/>
    <w:rsid w:val="00A61A17"/>
    <w:rsid w:val="00A94B20"/>
    <w:rsid w:val="00B531C7"/>
    <w:rsid w:val="00BB0B22"/>
    <w:rsid w:val="00BC0A06"/>
    <w:rsid w:val="00C53AE3"/>
    <w:rsid w:val="00CC0015"/>
    <w:rsid w:val="00CE18F7"/>
    <w:rsid w:val="00CE6B3C"/>
    <w:rsid w:val="00D05E53"/>
    <w:rsid w:val="00D713EF"/>
    <w:rsid w:val="00D81318"/>
    <w:rsid w:val="00DA271C"/>
    <w:rsid w:val="00E52DAA"/>
    <w:rsid w:val="00E54D9C"/>
    <w:rsid w:val="00E558EF"/>
    <w:rsid w:val="00ED1472"/>
    <w:rsid w:val="00F5390A"/>
    <w:rsid w:val="00FE38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795F"/>
  <w15:chartTrackingRefBased/>
  <w15:docId w15:val="{38BDD013-9EFA-49E8-A7F3-BA59EB5A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EF"/>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713EF"/>
    <w:pPr>
      <w:ind w:left="720"/>
      <w:contextualSpacing/>
    </w:pPr>
  </w:style>
  <w:style w:type="paragraph" w:styleId="Encabezado">
    <w:name w:val="header"/>
    <w:basedOn w:val="Normal"/>
    <w:link w:val="EncabezadoCar"/>
    <w:uiPriority w:val="99"/>
    <w:unhideWhenUsed/>
    <w:rsid w:val="00D713EF"/>
    <w:pPr>
      <w:tabs>
        <w:tab w:val="center" w:pos="4419"/>
        <w:tab w:val="right" w:pos="8838"/>
      </w:tabs>
    </w:pPr>
  </w:style>
  <w:style w:type="character" w:customStyle="1" w:styleId="EncabezadoCar">
    <w:name w:val="Encabezado Car"/>
    <w:basedOn w:val="Fuentedeprrafopredeter"/>
    <w:link w:val="Encabezado"/>
    <w:uiPriority w:val="99"/>
    <w:rsid w:val="00D713EF"/>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D713EF"/>
    <w:pPr>
      <w:tabs>
        <w:tab w:val="center" w:pos="4419"/>
        <w:tab w:val="right" w:pos="8838"/>
      </w:tabs>
    </w:pPr>
  </w:style>
  <w:style w:type="character" w:customStyle="1" w:styleId="PiedepginaCar">
    <w:name w:val="Pie de página Car"/>
    <w:basedOn w:val="Fuentedeprrafopredeter"/>
    <w:link w:val="Piedepgina"/>
    <w:uiPriority w:val="99"/>
    <w:rsid w:val="00D713EF"/>
    <w:rPr>
      <w:rFonts w:ascii="Times New Roman" w:eastAsia="Times New Roman" w:hAnsi="Times New Roman" w:cs="Times New Roman"/>
      <w:color w:val="333300"/>
      <w:sz w:val="24"/>
      <w:szCs w:val="24"/>
      <w:lang w:eastAsia="es-ES"/>
    </w:rPr>
  </w:style>
  <w:style w:type="table" w:styleId="Tablaconcuadrcula">
    <w:name w:val="Table Grid"/>
    <w:basedOn w:val="Tablanormal"/>
    <w:uiPriority w:val="59"/>
    <w:rsid w:val="00E558EF"/>
    <w:pPr>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AF3C1-0054-448D-9721-A43B8926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7</Pages>
  <Words>2434</Words>
  <Characters>13393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40</cp:revision>
  <dcterms:created xsi:type="dcterms:W3CDTF">2023-01-23T18:42:00Z</dcterms:created>
  <dcterms:modified xsi:type="dcterms:W3CDTF">2023-07-26T22:36:00Z</dcterms:modified>
</cp:coreProperties>
</file>