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0E59" w14:textId="77777777" w:rsidR="00FA22C0" w:rsidRDefault="00FA22C0" w:rsidP="00FA22C0">
      <w:pPr>
        <w:spacing w:after="0" w:line="240" w:lineRule="auto"/>
        <w:jc w:val="right"/>
        <w:rPr>
          <w:rFonts w:ascii="Century Gothic" w:hAnsi="Century Gothic"/>
          <w:b/>
          <w:sz w:val="24"/>
        </w:rPr>
      </w:pPr>
      <w:r>
        <w:rPr>
          <w:rFonts w:ascii="Century Gothic" w:hAnsi="Century Gothic"/>
          <w:b/>
          <w:sz w:val="24"/>
        </w:rPr>
        <w:t>UAIP-SRC-RESOL-SOL18-2020</w:t>
      </w:r>
    </w:p>
    <w:p w14:paraId="78272F17" w14:textId="77777777" w:rsidR="00FA22C0" w:rsidRDefault="00FA22C0" w:rsidP="00FA22C0">
      <w:pPr>
        <w:spacing w:after="0" w:line="240" w:lineRule="auto"/>
        <w:jc w:val="right"/>
        <w:rPr>
          <w:rFonts w:ascii="Century Gothic" w:hAnsi="Century Gothic"/>
          <w:b/>
          <w:sz w:val="24"/>
        </w:rPr>
      </w:pPr>
      <w:r>
        <w:rPr>
          <w:rFonts w:ascii="Century Gothic" w:hAnsi="Century Gothic"/>
          <w:b/>
          <w:sz w:val="24"/>
        </w:rPr>
        <w:t xml:space="preserve">Unidad de Acceso a la Información Pública, </w:t>
      </w:r>
    </w:p>
    <w:p w14:paraId="12467F7E" w14:textId="77777777" w:rsidR="00FA22C0" w:rsidRDefault="00FA22C0" w:rsidP="00FA22C0">
      <w:pPr>
        <w:spacing w:after="0" w:line="240" w:lineRule="auto"/>
        <w:jc w:val="right"/>
        <w:rPr>
          <w:rFonts w:ascii="Century Gothic" w:hAnsi="Century Gothic"/>
          <w:b/>
          <w:sz w:val="24"/>
        </w:rPr>
      </w:pPr>
      <w:r>
        <w:rPr>
          <w:rFonts w:ascii="Century Gothic" w:hAnsi="Century Gothic"/>
          <w:b/>
          <w:sz w:val="24"/>
        </w:rPr>
        <w:t xml:space="preserve">Alcaldía de San Rafael Cedros,  </w:t>
      </w:r>
    </w:p>
    <w:p w14:paraId="3595BB3F" w14:textId="77777777" w:rsidR="00FA22C0" w:rsidRDefault="00FA22C0" w:rsidP="00FA22C0">
      <w:pPr>
        <w:spacing w:after="0" w:line="240" w:lineRule="auto"/>
        <w:jc w:val="right"/>
        <w:rPr>
          <w:rFonts w:ascii="Century Gothic" w:hAnsi="Century Gothic"/>
          <w:b/>
          <w:sz w:val="24"/>
        </w:rPr>
      </w:pPr>
      <w:r>
        <w:rPr>
          <w:rFonts w:ascii="Century Gothic" w:hAnsi="Century Gothic"/>
          <w:b/>
          <w:sz w:val="24"/>
        </w:rPr>
        <w:t>24 de noviembre de 2020</w:t>
      </w:r>
    </w:p>
    <w:p w14:paraId="4C3D3BC0" w14:textId="77777777" w:rsidR="00FA22C0" w:rsidRDefault="00FA22C0" w:rsidP="00FA22C0">
      <w:pPr>
        <w:spacing w:after="0" w:line="240" w:lineRule="auto"/>
        <w:jc w:val="right"/>
        <w:rPr>
          <w:rFonts w:ascii="Century Gothic" w:hAnsi="Century Gothic"/>
          <w:b/>
          <w:sz w:val="24"/>
        </w:rPr>
      </w:pPr>
      <w:r>
        <w:rPr>
          <w:rFonts w:ascii="Century Gothic" w:hAnsi="Century Gothic"/>
          <w:b/>
          <w:sz w:val="24"/>
        </w:rPr>
        <w:t>RESOLUCIÓN</w:t>
      </w:r>
    </w:p>
    <w:p w14:paraId="642A02C0" w14:textId="3988B55A" w:rsidR="00FA22C0" w:rsidRPr="00360B66" w:rsidRDefault="0058415D" w:rsidP="00FA22C0">
      <w:pPr>
        <w:spacing w:after="0" w:line="240" w:lineRule="auto"/>
        <w:rPr>
          <w:rFonts w:ascii="Century Gothic" w:hAnsi="Century Gothic"/>
          <w:b/>
          <w:bCs/>
          <w:sz w:val="24"/>
        </w:rPr>
      </w:pPr>
      <w:r>
        <w:rPr>
          <w:rFonts w:ascii="Century Gothic" w:hAnsi="Century Gothic"/>
          <w:b/>
          <w:bCs/>
          <w:sz w:val="24"/>
        </w:rPr>
        <w:t>XXX XXXXXX XXXXXX XXXXXXX</w:t>
      </w:r>
    </w:p>
    <w:p w14:paraId="3AB85CF6" w14:textId="77777777" w:rsidR="00FA22C0" w:rsidRPr="00360B66" w:rsidRDefault="00FA22C0" w:rsidP="00FA22C0">
      <w:pPr>
        <w:spacing w:after="0" w:line="240" w:lineRule="auto"/>
        <w:rPr>
          <w:rFonts w:ascii="Century Gothic" w:hAnsi="Century Gothic"/>
          <w:b/>
          <w:bCs/>
          <w:sz w:val="24"/>
        </w:rPr>
      </w:pPr>
      <w:r w:rsidRPr="00360B66">
        <w:rPr>
          <w:rFonts w:ascii="Century Gothic" w:hAnsi="Century Gothic"/>
          <w:b/>
          <w:bCs/>
          <w:sz w:val="24"/>
        </w:rPr>
        <w:t xml:space="preserve">Presente. -  </w:t>
      </w:r>
    </w:p>
    <w:p w14:paraId="4DD321B5" w14:textId="77777777" w:rsidR="00FA22C0" w:rsidRPr="000A3A55" w:rsidRDefault="00FA22C0" w:rsidP="00FA22C0">
      <w:pPr>
        <w:spacing w:after="0" w:line="240" w:lineRule="auto"/>
        <w:rPr>
          <w:rFonts w:ascii="Century Gothic" w:hAnsi="Century Gothic"/>
          <w:b/>
          <w:bCs/>
          <w:sz w:val="24"/>
        </w:rPr>
      </w:pPr>
    </w:p>
    <w:p w14:paraId="37C0FC83" w14:textId="77777777" w:rsidR="00FA22C0" w:rsidRDefault="00FA22C0" w:rsidP="00FA22C0">
      <w:pPr>
        <w:spacing w:line="360" w:lineRule="auto"/>
        <w:ind w:firstLine="720"/>
        <w:jc w:val="both"/>
        <w:rPr>
          <w:rFonts w:ascii="Century Gothic" w:hAnsi="Century Gothic"/>
          <w:sz w:val="24"/>
        </w:rPr>
      </w:pPr>
      <w:r>
        <w:rPr>
          <w:rFonts w:ascii="Century Gothic" w:hAnsi="Century Gothic"/>
          <w:sz w:val="24"/>
        </w:rPr>
        <w:t xml:space="preserve">Respondiendo a su solicitud de información recibida vía correo electrónico en las instalaciones de la Unidad de Acceso a la Información Pública (UAIP) a los veintiséis días de octubre dos mil veinte, donde solicita: </w:t>
      </w:r>
    </w:p>
    <w:p w14:paraId="01A40CAE" w14:textId="44E37681" w:rsidR="00FA22C0" w:rsidRPr="00AF1B77" w:rsidRDefault="0058415D" w:rsidP="00FA22C0">
      <w:pPr>
        <w:pStyle w:val="Prrafodelista"/>
        <w:numPr>
          <w:ilvl w:val="0"/>
          <w:numId w:val="50"/>
        </w:numPr>
        <w:spacing w:line="360" w:lineRule="auto"/>
        <w:jc w:val="both"/>
        <w:rPr>
          <w:rFonts w:ascii="Century Gothic" w:hAnsi="Century Gothic"/>
          <w:sz w:val="24"/>
        </w:rPr>
      </w:pPr>
      <w:r>
        <w:rPr>
          <w:rFonts w:ascii="Century Gothic" w:hAnsi="Century Gothic"/>
          <w:sz w:val="24"/>
        </w:rPr>
        <w:t xml:space="preserve">Información confidencial. </w:t>
      </w:r>
    </w:p>
    <w:p w14:paraId="0D870F95" w14:textId="77777777" w:rsidR="00FA22C0" w:rsidRDefault="00FA22C0" w:rsidP="00FA22C0">
      <w:pPr>
        <w:spacing w:line="360" w:lineRule="auto"/>
        <w:jc w:val="both"/>
        <w:rPr>
          <w:rFonts w:ascii="Century Gothic" w:hAnsi="Century Gothic"/>
          <w:sz w:val="24"/>
        </w:rPr>
      </w:pPr>
      <w:r>
        <w:rPr>
          <w:rFonts w:ascii="Century Gothic" w:hAnsi="Century Gothic"/>
          <w:sz w:val="24"/>
        </w:rPr>
        <w:t xml:space="preserve">En base al Art. 66 de la Ley de Acceso a la Información se admitió la solicitud y se lleva a cabo el respectivo proceso de solicitud a la unidad competente, que realizo búsqueda de la información. </w:t>
      </w:r>
    </w:p>
    <w:p w14:paraId="116D8C97" w14:textId="3D41487F" w:rsidR="00FA22C0" w:rsidRDefault="00FA22C0" w:rsidP="00FA22C0">
      <w:pPr>
        <w:spacing w:line="360" w:lineRule="auto"/>
        <w:jc w:val="both"/>
        <w:rPr>
          <w:rFonts w:ascii="Century Gothic" w:hAnsi="Century Gothic"/>
          <w:sz w:val="24"/>
        </w:rPr>
      </w:pPr>
      <w:r>
        <w:rPr>
          <w:rFonts w:ascii="Century Gothic" w:hAnsi="Century Gothic"/>
          <w:sz w:val="24"/>
        </w:rPr>
        <w:t xml:space="preserve">Localizando </w:t>
      </w:r>
      <w:r w:rsidR="0058415D">
        <w:rPr>
          <w:rFonts w:ascii="Century Gothic" w:hAnsi="Century Gothic"/>
          <w:sz w:val="24"/>
        </w:rPr>
        <w:t>xxx xxxxx xx xxxxx</w:t>
      </w:r>
      <w:r>
        <w:rPr>
          <w:rFonts w:ascii="Century Gothic" w:hAnsi="Century Gothic"/>
          <w:sz w:val="24"/>
        </w:rPr>
        <w:t xml:space="preserve">, la cual fue entregada a la UAIP y certificada por el Secretario Municipal, el 17 y 19 de los corrientes se notificó al correo proporcionado para tal fin, que es necesario que se presente a la municipalidad a cancelar el precio de la certificación del documento ($2.10 USD). La entrega de información se basa en el principio de gratuidad, sin embargo, en este caso por solicitar copias certificadas es necesario que se cancele el monto antes mencionado Art. 61 LAIP “…Las copias certificadas, se aplicarán las tasas previstas en las leyes especiales” en este caso </w:t>
      </w:r>
      <w:r w:rsidRPr="009712CB">
        <w:rPr>
          <w:rFonts w:ascii="Century Gothic" w:hAnsi="Century Gothic"/>
          <w:i/>
          <w:iCs/>
          <w:sz w:val="24"/>
          <w:szCs w:val="24"/>
        </w:rPr>
        <w:t>La Ordenanza Reguladora De Tasas Por Servicios Municipales</w:t>
      </w:r>
      <w:r>
        <w:t xml:space="preserve">. </w:t>
      </w:r>
    </w:p>
    <w:p w14:paraId="32B74A72" w14:textId="66ADCC7E" w:rsidR="00FA22C0" w:rsidRDefault="00FA22C0" w:rsidP="00FA22C0">
      <w:pPr>
        <w:spacing w:line="360" w:lineRule="auto"/>
        <w:jc w:val="both"/>
        <w:rPr>
          <w:rFonts w:ascii="Century Gothic" w:hAnsi="Century Gothic"/>
          <w:sz w:val="24"/>
        </w:rPr>
      </w:pPr>
      <w:r>
        <w:rPr>
          <w:rFonts w:ascii="Century Gothic" w:hAnsi="Century Gothic"/>
          <w:sz w:val="24"/>
        </w:rPr>
        <w:t>A la fecha no se ha obtenido respuesta, siendo este el día que vence el plazo establecido por la LAIP que establece que el tiempo de respuesta no excederá de los diez días hábiles, excepción de aquella que exceda los cinco años Art. 71 “</w:t>
      </w:r>
      <w:r w:rsidRPr="00464D6D">
        <w:rPr>
          <w:rFonts w:ascii="Century Gothic" w:hAnsi="Century Gothic"/>
          <w:sz w:val="24"/>
          <w:szCs w:val="24"/>
        </w:rPr>
        <w:t>Si la información requerida excede de los cinco años de haberse generado, el plazo podrá ampliarse por diez días hábiles más</w:t>
      </w:r>
      <w:r>
        <w:rPr>
          <w:rFonts w:ascii="Century Gothic" w:hAnsi="Century Gothic"/>
          <w:sz w:val="24"/>
        </w:rPr>
        <w:t xml:space="preserve">”. </w:t>
      </w:r>
    </w:p>
    <w:p w14:paraId="3CAFC17B" w14:textId="77777777" w:rsidR="00FA22C0" w:rsidRDefault="00FA22C0" w:rsidP="00FA22C0">
      <w:pPr>
        <w:spacing w:line="360" w:lineRule="auto"/>
        <w:jc w:val="both"/>
        <w:rPr>
          <w:rFonts w:ascii="Century Gothic" w:hAnsi="Century Gothic"/>
          <w:sz w:val="24"/>
        </w:rPr>
      </w:pPr>
      <w:r>
        <w:rPr>
          <w:rFonts w:ascii="Century Gothic" w:hAnsi="Century Gothic"/>
          <w:sz w:val="24"/>
        </w:rPr>
        <w:lastRenderedPageBreak/>
        <w:t xml:space="preserve">Por lo anteriormente expuesto, la suscrita oficial, resuelve: </w:t>
      </w:r>
    </w:p>
    <w:p w14:paraId="3D9E6782" w14:textId="77777777" w:rsidR="00FA22C0" w:rsidRDefault="00FA22C0" w:rsidP="00FA22C0">
      <w:pPr>
        <w:pStyle w:val="Prrafodelista"/>
        <w:numPr>
          <w:ilvl w:val="0"/>
          <w:numId w:val="49"/>
        </w:numPr>
        <w:spacing w:line="360" w:lineRule="auto"/>
        <w:jc w:val="both"/>
        <w:rPr>
          <w:rFonts w:ascii="Century Gothic" w:hAnsi="Century Gothic"/>
          <w:sz w:val="24"/>
        </w:rPr>
      </w:pPr>
      <w:r>
        <w:rPr>
          <w:rFonts w:ascii="Century Gothic" w:hAnsi="Century Gothic"/>
          <w:sz w:val="24"/>
        </w:rPr>
        <w:t>C</w:t>
      </w:r>
      <w:r w:rsidRPr="009712CB">
        <w:rPr>
          <w:rFonts w:ascii="Century Gothic" w:hAnsi="Century Gothic"/>
          <w:sz w:val="24"/>
        </w:rPr>
        <w:t>oncédase el acceso a la información</w:t>
      </w:r>
      <w:r>
        <w:rPr>
          <w:rFonts w:ascii="Century Gothic" w:hAnsi="Century Gothic"/>
          <w:sz w:val="24"/>
        </w:rPr>
        <w:t>.</w:t>
      </w:r>
    </w:p>
    <w:p w14:paraId="00F5C3E4" w14:textId="348AF50F" w:rsidR="00FA22C0" w:rsidRPr="009712CB" w:rsidRDefault="00FA22C0" w:rsidP="00FA22C0">
      <w:pPr>
        <w:pStyle w:val="Prrafodelista"/>
        <w:numPr>
          <w:ilvl w:val="0"/>
          <w:numId w:val="49"/>
        </w:numPr>
        <w:spacing w:line="360" w:lineRule="auto"/>
        <w:jc w:val="both"/>
        <w:rPr>
          <w:rFonts w:ascii="Century Gothic" w:hAnsi="Century Gothic"/>
          <w:sz w:val="24"/>
        </w:rPr>
      </w:pPr>
      <w:r>
        <w:rPr>
          <w:rFonts w:ascii="Century Gothic" w:hAnsi="Century Gothic"/>
          <w:sz w:val="24"/>
        </w:rPr>
        <w:t xml:space="preserve">Entréguese la información en copias simples, quedando a la espera de una contestación para poder hacer entrega de copia certificada.  </w:t>
      </w:r>
    </w:p>
    <w:p w14:paraId="6F68B740" w14:textId="77777777" w:rsidR="00FA22C0" w:rsidRDefault="00FA22C0" w:rsidP="00FA22C0">
      <w:pPr>
        <w:spacing w:line="360" w:lineRule="auto"/>
        <w:jc w:val="both"/>
        <w:rPr>
          <w:rFonts w:ascii="Century Gothic" w:hAnsi="Century Gothic"/>
          <w:sz w:val="24"/>
        </w:rPr>
      </w:pPr>
      <w:r w:rsidRPr="00BB0C03">
        <w:rPr>
          <w:rFonts w:ascii="Century Gothic" w:hAnsi="Century Gothic"/>
          <w:sz w:val="24"/>
        </w:rPr>
        <w:t>Por lo tanto, se envía, al correo proporcionado para tal efecto la siguiente documentación</w:t>
      </w:r>
      <w:r>
        <w:rPr>
          <w:rFonts w:ascii="Century Gothic" w:hAnsi="Century Gothic"/>
          <w:sz w:val="24"/>
        </w:rPr>
        <w:t xml:space="preserve">: </w:t>
      </w:r>
    </w:p>
    <w:p w14:paraId="3087D973" w14:textId="77777777" w:rsidR="0058415D" w:rsidRDefault="0058415D" w:rsidP="00FA22C0">
      <w:pPr>
        <w:pStyle w:val="Prrafodelista"/>
        <w:numPr>
          <w:ilvl w:val="0"/>
          <w:numId w:val="48"/>
        </w:numPr>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Información confidencial </w:t>
      </w:r>
    </w:p>
    <w:p w14:paraId="1B3E49D1" w14:textId="3A7B8AC7" w:rsidR="00FA22C0" w:rsidRDefault="00FA22C0" w:rsidP="00FA22C0">
      <w:pPr>
        <w:pStyle w:val="Prrafodelista"/>
        <w:numPr>
          <w:ilvl w:val="0"/>
          <w:numId w:val="48"/>
        </w:numPr>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Acta de resolución. </w:t>
      </w:r>
    </w:p>
    <w:p w14:paraId="3FA2877B" w14:textId="77777777" w:rsidR="00FA22C0" w:rsidRPr="00156B78" w:rsidRDefault="00FA22C0" w:rsidP="00FA22C0">
      <w:pPr>
        <w:spacing w:after="0" w:line="240" w:lineRule="auto"/>
        <w:ind w:left="360"/>
        <w:jc w:val="both"/>
        <w:rPr>
          <w:rFonts w:ascii="Century Gothic" w:hAnsi="Century Gothic" w:cs="Times New Roman"/>
          <w:sz w:val="24"/>
          <w:szCs w:val="24"/>
        </w:rPr>
      </w:pPr>
    </w:p>
    <w:p w14:paraId="59344822" w14:textId="77777777" w:rsidR="00FA22C0" w:rsidRDefault="00FA22C0" w:rsidP="00FA22C0">
      <w:pPr>
        <w:spacing w:line="360" w:lineRule="auto"/>
        <w:jc w:val="both"/>
        <w:rPr>
          <w:rFonts w:ascii="Century Gothic" w:hAnsi="Century Gothic"/>
          <w:sz w:val="24"/>
        </w:rPr>
      </w:pPr>
    </w:p>
    <w:p w14:paraId="45C02102" w14:textId="77777777" w:rsidR="00FA22C0" w:rsidRDefault="00FA22C0" w:rsidP="00FA22C0">
      <w:pPr>
        <w:spacing w:after="0" w:line="240" w:lineRule="auto"/>
        <w:jc w:val="both"/>
        <w:rPr>
          <w:rFonts w:ascii="Times New Roman" w:hAnsi="Times New Roman" w:cs="Times New Roman"/>
          <w:b/>
          <w:bCs/>
          <w:sz w:val="24"/>
          <w:szCs w:val="24"/>
        </w:rPr>
      </w:pPr>
    </w:p>
    <w:p w14:paraId="76BF2FB3" w14:textId="77777777" w:rsidR="00FA22C0" w:rsidRPr="00B64C19" w:rsidRDefault="00FA22C0" w:rsidP="00FA22C0">
      <w:pPr>
        <w:spacing w:after="0" w:line="240" w:lineRule="auto"/>
        <w:jc w:val="both"/>
        <w:rPr>
          <w:rFonts w:ascii="Times New Roman" w:hAnsi="Times New Roman" w:cs="Times New Roman"/>
          <w:b/>
          <w:bCs/>
          <w:sz w:val="24"/>
          <w:szCs w:val="24"/>
        </w:rPr>
      </w:pPr>
      <w:r w:rsidRPr="00B64C19">
        <w:rPr>
          <w:rFonts w:ascii="Times New Roman" w:hAnsi="Times New Roman" w:cs="Times New Roman"/>
          <w:b/>
          <w:bCs/>
          <w:sz w:val="24"/>
          <w:szCs w:val="24"/>
        </w:rPr>
        <w:t xml:space="preserve">Licda. Evelyn Urania Narayana </w:t>
      </w:r>
    </w:p>
    <w:p w14:paraId="1F95EE66" w14:textId="77777777" w:rsidR="00FA22C0" w:rsidRDefault="00FA22C0" w:rsidP="00FA2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Orantes Hernández.</w:t>
      </w:r>
    </w:p>
    <w:p w14:paraId="55E78902" w14:textId="77777777" w:rsidR="00FA22C0" w:rsidRDefault="00FA22C0" w:rsidP="00FA22C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Oficial de Acceso a la Información Pública </w:t>
      </w:r>
    </w:p>
    <w:p w14:paraId="2E7FF648" w14:textId="77777777" w:rsidR="00FA22C0" w:rsidRPr="00D620D7" w:rsidRDefault="00FA22C0" w:rsidP="00FA22C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UAIP</w:t>
      </w:r>
    </w:p>
    <w:p w14:paraId="06B43D24" w14:textId="77777777" w:rsidR="008C0CEB" w:rsidRPr="00D868EF" w:rsidRDefault="008C0CEB" w:rsidP="00D868EF"/>
    <w:sectPr w:rsidR="008C0CEB" w:rsidRPr="00D868EF" w:rsidSect="00342187">
      <w:headerReference w:type="default" r:id="rId7"/>
      <w:footerReference w:type="default" r:id="rId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6711" w14:textId="77777777" w:rsidR="001C3A1A" w:rsidRDefault="001C3A1A" w:rsidP="00012065">
      <w:pPr>
        <w:spacing w:after="0" w:line="240" w:lineRule="auto"/>
      </w:pPr>
      <w:r>
        <w:separator/>
      </w:r>
    </w:p>
  </w:endnote>
  <w:endnote w:type="continuationSeparator" w:id="0">
    <w:p w14:paraId="15F6062B" w14:textId="77777777" w:rsidR="001C3A1A" w:rsidRDefault="001C3A1A"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349F" w14:textId="62C1A51B" w:rsidR="0028497A" w:rsidRDefault="0028497A" w:rsidP="0028497A">
    <w:pPr>
      <w:pStyle w:val="Piedepgina"/>
      <w:jc w:val="right"/>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4AF01AB" wp14:editId="10C311B8">
              <wp:simplePos x="0" y="0"/>
              <wp:positionH relativeFrom="column">
                <wp:posOffset>103505</wp:posOffset>
              </wp:positionH>
              <wp:positionV relativeFrom="paragraph">
                <wp:posOffset>77722</wp:posOffset>
              </wp:positionV>
              <wp:extent cx="539115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4F66"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1pt" to="43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58F9AA14" wp14:editId="7FEB1BCD">
              <wp:simplePos x="0" y="0"/>
              <wp:positionH relativeFrom="margin">
                <wp:align>center</wp:align>
              </wp:positionH>
              <wp:positionV relativeFrom="paragraph">
                <wp:posOffset>47014</wp:posOffset>
              </wp:positionV>
              <wp:extent cx="53911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5BD3" id="Conector recto 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" strokecolor="#5b9bd5 [3204]" strokeweight="1pt">
              <v:stroke joinstyle="miter"/>
              <w10:wrap anchorx="margin"/>
            </v:line>
          </w:pict>
        </mc:Fallback>
      </mc:AlternateContent>
    </w:r>
  </w:p>
  <w:p w14:paraId="014F4AEE" w14:textId="3C8FDD09" w:rsidR="0028497A" w:rsidRPr="0037439E" w:rsidRDefault="001C3A1A" w:rsidP="0028497A">
    <w:pPr>
      <w:pStyle w:val="Piedepgina"/>
      <w:jc w:val="right"/>
      <w:rPr>
        <w:b/>
        <w:bCs/>
        <w:color w:val="2E74B5" w:themeColor="accent1" w:themeShade="BF"/>
      </w:rPr>
    </w:pPr>
    <w:hyperlink r:id="rId1" w:history="1">
      <w:r w:rsidR="0028497A" w:rsidRPr="0037439E">
        <w:rPr>
          <w:rStyle w:val="Hipervnculo"/>
          <w:b/>
          <w:bCs/>
          <w:color w:val="2E74B5" w:themeColor="accent1" w:themeShade="BF"/>
        </w:rPr>
        <w:t>uaip@sanrafaelcedros.gob.sv</w:t>
      </w:r>
    </w:hyperlink>
    <w:r w:rsidR="0028497A" w:rsidRPr="0037439E">
      <w:rPr>
        <w:b/>
        <w:bCs/>
        <w:color w:val="2E74B5" w:themeColor="accent1" w:themeShade="BF"/>
      </w:rPr>
      <w:t xml:space="preserve">   </w:t>
    </w:r>
  </w:p>
  <w:p w14:paraId="00B946FB" w14:textId="71A72933" w:rsidR="00AF4BD9" w:rsidRPr="0037439E" w:rsidRDefault="00AF4BD9" w:rsidP="00AF4BD9">
    <w:pPr>
      <w:pStyle w:val="Piedepgina"/>
      <w:jc w:val="right"/>
      <w:rPr>
        <w:b/>
        <w:bCs/>
        <w:color w:val="2E74B5" w:themeColor="accent1" w:themeShade="BF"/>
        <w:u w:val="single"/>
      </w:rPr>
    </w:pPr>
    <w:r w:rsidRPr="0037439E">
      <w:rPr>
        <w:b/>
        <w:bCs/>
        <w:color w:val="2E74B5" w:themeColor="accent1" w:themeShade="BF"/>
        <w:u w:val="single"/>
      </w:rPr>
      <w:t>sanrafaelcedros.gob.sv</w:t>
    </w:r>
  </w:p>
  <w:p w14:paraId="34E47CC5" w14:textId="4B5C7D3D" w:rsidR="00850EC6" w:rsidRPr="00AF4BD9" w:rsidRDefault="00850EC6" w:rsidP="00AF4BD9">
    <w:pPr>
      <w:pStyle w:val="Piedepgina"/>
      <w:jc w:val="right"/>
      <w:rPr>
        <w:rStyle w:val="Hipervnculo"/>
        <w:b/>
        <w:bCs/>
        <w:color w:val="2E74B5" w:themeColor="accent1" w:themeShade="BF"/>
        <w:lang w:val="en-US"/>
      </w:rPr>
    </w:pPr>
    <w:r>
      <w:rPr>
        <w:b/>
        <w:bCs/>
        <w:color w:val="2E74B5" w:themeColor="accent1" w:themeShade="BF"/>
        <w:u w:val="single"/>
        <w:lang w:val="en-US"/>
      </w:rPr>
      <w:t>2347-2020</w:t>
    </w:r>
  </w:p>
  <w:p w14:paraId="65045FB6" w14:textId="71F6476F" w:rsidR="009B6A66" w:rsidRPr="00AF4BD9" w:rsidRDefault="009B6A66" w:rsidP="00AF4BD9">
    <w:pPr>
      <w:pStyle w:val="Piedepgina"/>
      <w:jc w:val="right"/>
      <w:rPr>
        <w:b/>
        <w:bCs/>
        <w:color w:val="2E74B5" w:themeColor="accent1" w:themeShade="B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CC60" w14:textId="77777777" w:rsidR="001C3A1A" w:rsidRDefault="001C3A1A" w:rsidP="00012065">
      <w:pPr>
        <w:spacing w:after="0" w:line="240" w:lineRule="auto"/>
      </w:pPr>
      <w:r>
        <w:separator/>
      </w:r>
    </w:p>
  </w:footnote>
  <w:footnote w:type="continuationSeparator" w:id="0">
    <w:p w14:paraId="387F3B53" w14:textId="77777777" w:rsidR="001C3A1A" w:rsidRDefault="001C3A1A"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8D8D" w14:textId="77777777"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14DB40DE" wp14:editId="3A543B32">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CB274"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4C6FCFFE" wp14:editId="788B3383">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AB20"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DB3F09">
      <w:rPr>
        <w:rFonts w:ascii="Century Gothic" w:hAnsi="Century Gothic"/>
        <w:noProof/>
        <w:lang w:eastAsia="es-SV"/>
      </w:rPr>
      <w:drawing>
        <wp:anchor distT="0" distB="0" distL="114300" distR="114300" simplePos="0" relativeHeight="251659776" behindDoc="1" locked="0" layoutInCell="1" allowOverlap="1" wp14:anchorId="0F442C8B" wp14:editId="456D7F07">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6505A"/>
    <w:multiLevelType w:val="multilevel"/>
    <w:tmpl w:val="B19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799"/>
    <w:multiLevelType w:val="multilevel"/>
    <w:tmpl w:val="45C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71DF2"/>
    <w:multiLevelType w:val="hybridMultilevel"/>
    <w:tmpl w:val="18EA25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67EA6"/>
    <w:multiLevelType w:val="multilevel"/>
    <w:tmpl w:val="FC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63CE3"/>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3A1DAC"/>
    <w:multiLevelType w:val="hybridMultilevel"/>
    <w:tmpl w:val="0DFE4A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8D0CBA"/>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383658"/>
    <w:multiLevelType w:val="hybridMultilevel"/>
    <w:tmpl w:val="8CF4F754"/>
    <w:lvl w:ilvl="0" w:tplc="12C43938">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70E1BF8"/>
    <w:multiLevelType w:val="multilevel"/>
    <w:tmpl w:val="5B5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619E8"/>
    <w:multiLevelType w:val="multilevel"/>
    <w:tmpl w:val="234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D64E7"/>
    <w:multiLevelType w:val="hybridMultilevel"/>
    <w:tmpl w:val="5778FE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9B32CB8"/>
    <w:multiLevelType w:val="hybridMultilevel"/>
    <w:tmpl w:val="A3521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A502F13"/>
    <w:multiLevelType w:val="hybridMultilevel"/>
    <w:tmpl w:val="52202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A9E5D85"/>
    <w:multiLevelType w:val="hybridMultilevel"/>
    <w:tmpl w:val="F7AC351A"/>
    <w:lvl w:ilvl="0" w:tplc="55DEA1A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0132A9"/>
    <w:multiLevelType w:val="hybridMultilevel"/>
    <w:tmpl w:val="B92A1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80891"/>
    <w:multiLevelType w:val="multilevel"/>
    <w:tmpl w:val="AFB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20F88"/>
    <w:multiLevelType w:val="hybridMultilevel"/>
    <w:tmpl w:val="B92A1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50491E"/>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E557EF"/>
    <w:multiLevelType w:val="multilevel"/>
    <w:tmpl w:val="7B1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5197C"/>
    <w:multiLevelType w:val="hybridMultilevel"/>
    <w:tmpl w:val="D57CA5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32B34C1"/>
    <w:multiLevelType w:val="multilevel"/>
    <w:tmpl w:val="0646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A71594"/>
    <w:multiLevelType w:val="hybridMultilevel"/>
    <w:tmpl w:val="E90E6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81AAD"/>
    <w:multiLevelType w:val="hybridMultilevel"/>
    <w:tmpl w:val="BA12BE3A"/>
    <w:lvl w:ilvl="0" w:tplc="FAA05F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AEA574B"/>
    <w:multiLevelType w:val="hybridMultilevel"/>
    <w:tmpl w:val="1E90D0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3CA958C6"/>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CE7381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253209B"/>
    <w:multiLevelType w:val="hybridMultilevel"/>
    <w:tmpl w:val="99223532"/>
    <w:lvl w:ilvl="0" w:tplc="0FC41F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2546493"/>
    <w:multiLevelType w:val="hybridMultilevel"/>
    <w:tmpl w:val="5BB0066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3FE2CB9"/>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ED0177"/>
    <w:multiLevelType w:val="hybridMultilevel"/>
    <w:tmpl w:val="CB726E0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9FF70FF"/>
    <w:multiLevelType w:val="hybridMultilevel"/>
    <w:tmpl w:val="F42A9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B91B3E"/>
    <w:multiLevelType w:val="hybridMultilevel"/>
    <w:tmpl w:val="AE125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680B6F"/>
    <w:multiLevelType w:val="hybridMultilevel"/>
    <w:tmpl w:val="856AC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FAF2009"/>
    <w:multiLevelType w:val="hybridMultilevel"/>
    <w:tmpl w:val="AC4448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C14E55"/>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4296C53"/>
    <w:multiLevelType w:val="hybridMultilevel"/>
    <w:tmpl w:val="DA9C481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5142021"/>
    <w:multiLevelType w:val="hybridMultilevel"/>
    <w:tmpl w:val="836418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57AA537D"/>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F644B01"/>
    <w:multiLevelType w:val="multilevel"/>
    <w:tmpl w:val="3A0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425A8D"/>
    <w:multiLevelType w:val="hybridMultilevel"/>
    <w:tmpl w:val="3280A1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C86120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EF911E7"/>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3B53900"/>
    <w:multiLevelType w:val="hybridMultilevel"/>
    <w:tmpl w:val="A9CEB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1E64E2"/>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5C4396E"/>
    <w:multiLevelType w:val="hybridMultilevel"/>
    <w:tmpl w:val="E2E276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552A4F"/>
    <w:multiLevelType w:val="hybridMultilevel"/>
    <w:tmpl w:val="51CA26D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7CAC2DBD"/>
    <w:multiLevelType w:val="multilevel"/>
    <w:tmpl w:val="F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DE530A"/>
    <w:multiLevelType w:val="hybridMultilevel"/>
    <w:tmpl w:val="C0C003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2"/>
  </w:num>
  <w:num w:numId="2">
    <w:abstractNumId w:val="47"/>
  </w:num>
  <w:num w:numId="3">
    <w:abstractNumId w:val="27"/>
  </w:num>
  <w:num w:numId="4">
    <w:abstractNumId w:val="26"/>
  </w:num>
  <w:num w:numId="5">
    <w:abstractNumId w:val="43"/>
  </w:num>
  <w:num w:numId="6">
    <w:abstractNumId w:val="5"/>
  </w:num>
  <w:num w:numId="7">
    <w:abstractNumId w:val="13"/>
  </w:num>
  <w:num w:numId="8">
    <w:abstractNumId w:val="49"/>
  </w:num>
  <w:num w:numId="9">
    <w:abstractNumId w:val="0"/>
  </w:num>
  <w:num w:numId="10">
    <w:abstractNumId w:val="39"/>
  </w:num>
  <w:num w:numId="11">
    <w:abstractNumId w:val="36"/>
  </w:num>
  <w:num w:numId="12">
    <w:abstractNumId w:val="45"/>
  </w:num>
  <w:num w:numId="13">
    <w:abstractNumId w:val="30"/>
  </w:num>
  <w:num w:numId="14">
    <w:abstractNumId w:val="12"/>
  </w:num>
  <w:num w:numId="15">
    <w:abstractNumId w:val="7"/>
  </w:num>
  <w:num w:numId="16">
    <w:abstractNumId w:val="18"/>
  </w:num>
  <w:num w:numId="17">
    <w:abstractNumId w:val="16"/>
  </w:num>
  <w:num w:numId="18">
    <w:abstractNumId w:val="22"/>
  </w:num>
  <w:num w:numId="19">
    <w:abstractNumId w:val="9"/>
  </w:num>
  <w:num w:numId="20">
    <w:abstractNumId w:val="1"/>
  </w:num>
  <w:num w:numId="21">
    <w:abstractNumId w:val="4"/>
  </w:num>
  <w:num w:numId="22">
    <w:abstractNumId w:val="10"/>
  </w:num>
  <w:num w:numId="23">
    <w:abstractNumId w:val="20"/>
  </w:num>
  <w:num w:numId="24">
    <w:abstractNumId w:val="48"/>
  </w:num>
  <w:num w:numId="25">
    <w:abstractNumId w:val="40"/>
  </w:num>
  <w:num w:numId="26">
    <w:abstractNumId w:val="2"/>
  </w:num>
  <w:num w:numId="27">
    <w:abstractNumId w:val="38"/>
  </w:num>
  <w:num w:numId="28">
    <w:abstractNumId w:val="25"/>
  </w:num>
  <w:num w:numId="29">
    <w:abstractNumId w:val="34"/>
  </w:num>
  <w:num w:numId="30">
    <w:abstractNumId w:val="6"/>
  </w:num>
  <w:num w:numId="31">
    <w:abstractNumId w:val="21"/>
  </w:num>
  <w:num w:numId="32">
    <w:abstractNumId w:val="31"/>
  </w:num>
  <w:num w:numId="33">
    <w:abstractNumId w:val="37"/>
  </w:num>
  <w:num w:numId="34">
    <w:abstractNumId w:val="11"/>
  </w:num>
  <w:num w:numId="35">
    <w:abstractNumId w:val="3"/>
  </w:num>
  <w:num w:numId="36">
    <w:abstractNumId w:val="41"/>
  </w:num>
  <w:num w:numId="37">
    <w:abstractNumId w:val="46"/>
  </w:num>
  <w:num w:numId="38">
    <w:abstractNumId w:val="23"/>
  </w:num>
  <w:num w:numId="39">
    <w:abstractNumId w:val="35"/>
  </w:num>
  <w:num w:numId="40">
    <w:abstractNumId w:val="24"/>
  </w:num>
  <w:num w:numId="41">
    <w:abstractNumId w:val="1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5"/>
  </w:num>
  <w:num w:numId="45">
    <w:abstractNumId w:val="19"/>
  </w:num>
  <w:num w:numId="46">
    <w:abstractNumId w:val="8"/>
  </w:num>
  <w:num w:numId="47">
    <w:abstractNumId w:val="17"/>
  </w:num>
  <w:num w:numId="48">
    <w:abstractNumId w:val="33"/>
  </w:num>
  <w:num w:numId="49">
    <w:abstractNumId w:val="4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30C3"/>
    <w:rsid w:val="00003762"/>
    <w:rsid w:val="00004B3B"/>
    <w:rsid w:val="00012065"/>
    <w:rsid w:val="00067B31"/>
    <w:rsid w:val="00082CA8"/>
    <w:rsid w:val="00083E1C"/>
    <w:rsid w:val="000950BE"/>
    <w:rsid w:val="000A3A55"/>
    <w:rsid w:val="000A5F55"/>
    <w:rsid w:val="000B6F5A"/>
    <w:rsid w:val="000F0F9E"/>
    <w:rsid w:val="001630B2"/>
    <w:rsid w:val="00163CDA"/>
    <w:rsid w:val="00164E75"/>
    <w:rsid w:val="00174E7B"/>
    <w:rsid w:val="001757F6"/>
    <w:rsid w:val="00182CC8"/>
    <w:rsid w:val="00185CAF"/>
    <w:rsid w:val="0019467F"/>
    <w:rsid w:val="001B4659"/>
    <w:rsid w:val="001C3A1A"/>
    <w:rsid w:val="001E3804"/>
    <w:rsid w:val="001E69B2"/>
    <w:rsid w:val="0022439F"/>
    <w:rsid w:val="00236029"/>
    <w:rsid w:val="00244971"/>
    <w:rsid w:val="00271B3C"/>
    <w:rsid w:val="00271F86"/>
    <w:rsid w:val="0028497A"/>
    <w:rsid w:val="00294074"/>
    <w:rsid w:val="002C5623"/>
    <w:rsid w:val="002E2639"/>
    <w:rsid w:val="002F4C2B"/>
    <w:rsid w:val="00313403"/>
    <w:rsid w:val="0031746B"/>
    <w:rsid w:val="003247E0"/>
    <w:rsid w:val="00342187"/>
    <w:rsid w:val="0035737A"/>
    <w:rsid w:val="003707CF"/>
    <w:rsid w:val="0037439E"/>
    <w:rsid w:val="0039463E"/>
    <w:rsid w:val="003A0CDA"/>
    <w:rsid w:val="003C73EB"/>
    <w:rsid w:val="003F1480"/>
    <w:rsid w:val="003F2F5B"/>
    <w:rsid w:val="00400974"/>
    <w:rsid w:val="0040594D"/>
    <w:rsid w:val="00411A26"/>
    <w:rsid w:val="00414058"/>
    <w:rsid w:val="00440902"/>
    <w:rsid w:val="0048233A"/>
    <w:rsid w:val="004B42C0"/>
    <w:rsid w:val="004C554B"/>
    <w:rsid w:val="004D0226"/>
    <w:rsid w:val="00525DD8"/>
    <w:rsid w:val="00584095"/>
    <w:rsid w:val="0058415D"/>
    <w:rsid w:val="00593E79"/>
    <w:rsid w:val="005A44F0"/>
    <w:rsid w:val="005B085A"/>
    <w:rsid w:val="005B0BC8"/>
    <w:rsid w:val="005B5B6D"/>
    <w:rsid w:val="005C724A"/>
    <w:rsid w:val="005E3623"/>
    <w:rsid w:val="00604A9B"/>
    <w:rsid w:val="0063463C"/>
    <w:rsid w:val="0067137B"/>
    <w:rsid w:val="00696217"/>
    <w:rsid w:val="006A37C5"/>
    <w:rsid w:val="006A7450"/>
    <w:rsid w:val="006D2088"/>
    <w:rsid w:val="00732AB9"/>
    <w:rsid w:val="007457C0"/>
    <w:rsid w:val="00746029"/>
    <w:rsid w:val="00746AF0"/>
    <w:rsid w:val="007479AC"/>
    <w:rsid w:val="007566F4"/>
    <w:rsid w:val="0076523B"/>
    <w:rsid w:val="00796C87"/>
    <w:rsid w:val="007A2E87"/>
    <w:rsid w:val="007A3269"/>
    <w:rsid w:val="007A44B5"/>
    <w:rsid w:val="007A4F5D"/>
    <w:rsid w:val="007F085F"/>
    <w:rsid w:val="007F4273"/>
    <w:rsid w:val="007F5333"/>
    <w:rsid w:val="00802BBB"/>
    <w:rsid w:val="00815203"/>
    <w:rsid w:val="00850EC6"/>
    <w:rsid w:val="00855778"/>
    <w:rsid w:val="008650CD"/>
    <w:rsid w:val="00875EC1"/>
    <w:rsid w:val="008837E5"/>
    <w:rsid w:val="008A37D8"/>
    <w:rsid w:val="008B6607"/>
    <w:rsid w:val="008C0CEB"/>
    <w:rsid w:val="008C5C1E"/>
    <w:rsid w:val="008D6E6D"/>
    <w:rsid w:val="00902F37"/>
    <w:rsid w:val="00923023"/>
    <w:rsid w:val="00923C33"/>
    <w:rsid w:val="009714D9"/>
    <w:rsid w:val="0097168D"/>
    <w:rsid w:val="00972CE0"/>
    <w:rsid w:val="00994104"/>
    <w:rsid w:val="00994962"/>
    <w:rsid w:val="009A0ABC"/>
    <w:rsid w:val="009B2D15"/>
    <w:rsid w:val="009B6A66"/>
    <w:rsid w:val="009D4285"/>
    <w:rsid w:val="009F299A"/>
    <w:rsid w:val="009F3DDA"/>
    <w:rsid w:val="00A04161"/>
    <w:rsid w:val="00A32F67"/>
    <w:rsid w:val="00A330B5"/>
    <w:rsid w:val="00A7050A"/>
    <w:rsid w:val="00A72F05"/>
    <w:rsid w:val="00A772C9"/>
    <w:rsid w:val="00A90D24"/>
    <w:rsid w:val="00A97B80"/>
    <w:rsid w:val="00AB7AD2"/>
    <w:rsid w:val="00AF4BD9"/>
    <w:rsid w:val="00B70E4F"/>
    <w:rsid w:val="00B87C22"/>
    <w:rsid w:val="00BA1DA8"/>
    <w:rsid w:val="00BC7DC1"/>
    <w:rsid w:val="00BE11F5"/>
    <w:rsid w:val="00BE251D"/>
    <w:rsid w:val="00BF2542"/>
    <w:rsid w:val="00C17614"/>
    <w:rsid w:val="00C178C8"/>
    <w:rsid w:val="00C27ED0"/>
    <w:rsid w:val="00C35FB1"/>
    <w:rsid w:val="00C37261"/>
    <w:rsid w:val="00C54230"/>
    <w:rsid w:val="00CC706A"/>
    <w:rsid w:val="00CC79B6"/>
    <w:rsid w:val="00D01CB1"/>
    <w:rsid w:val="00D25412"/>
    <w:rsid w:val="00D439D5"/>
    <w:rsid w:val="00D55126"/>
    <w:rsid w:val="00D5613A"/>
    <w:rsid w:val="00D82A99"/>
    <w:rsid w:val="00D868EF"/>
    <w:rsid w:val="00DA0F29"/>
    <w:rsid w:val="00DA3D9C"/>
    <w:rsid w:val="00DB187D"/>
    <w:rsid w:val="00DB3F09"/>
    <w:rsid w:val="00DB78DA"/>
    <w:rsid w:val="00E21C89"/>
    <w:rsid w:val="00E23B6A"/>
    <w:rsid w:val="00E26C9D"/>
    <w:rsid w:val="00E56B1D"/>
    <w:rsid w:val="00E71126"/>
    <w:rsid w:val="00EA2E25"/>
    <w:rsid w:val="00EA4FAC"/>
    <w:rsid w:val="00EE5D7C"/>
    <w:rsid w:val="00EE6409"/>
    <w:rsid w:val="00EF2FFD"/>
    <w:rsid w:val="00EF4281"/>
    <w:rsid w:val="00F13AC8"/>
    <w:rsid w:val="00F2298D"/>
    <w:rsid w:val="00F4732F"/>
    <w:rsid w:val="00F5099C"/>
    <w:rsid w:val="00F62EA2"/>
    <w:rsid w:val="00F81E57"/>
    <w:rsid w:val="00F95F9A"/>
    <w:rsid w:val="00FA0E69"/>
    <w:rsid w:val="00FA22C0"/>
    <w:rsid w:val="00FA70F5"/>
    <w:rsid w:val="00FB0053"/>
    <w:rsid w:val="00F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B15E"/>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5"/>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9"/>
      </w:numPr>
      <w:contextualSpacing/>
    </w:pPr>
  </w:style>
  <w:style w:type="character" w:styleId="Hipervnculo">
    <w:name w:val="Hyperlink"/>
    <w:basedOn w:val="Fuentedeprrafopredeter"/>
    <w:uiPriority w:val="99"/>
    <w:unhideWhenUsed/>
    <w:rsid w:val="008B6607"/>
    <w:rPr>
      <w:color w:val="0000FF"/>
      <w:u w:val="single"/>
    </w:rPr>
  </w:style>
  <w:style w:type="character" w:styleId="Mencinsinresolver">
    <w:name w:val="Unresolved Mention"/>
    <w:basedOn w:val="Fuentedeprrafopredeter"/>
    <w:uiPriority w:val="99"/>
    <w:semiHidden/>
    <w:unhideWhenUsed/>
    <w:rsid w:val="0028497A"/>
    <w:rPr>
      <w:color w:val="605E5C"/>
      <w:shd w:val="clear" w:color="auto" w:fill="E1DFDD"/>
    </w:rPr>
  </w:style>
  <w:style w:type="table" w:styleId="Tablaconcuadrcula">
    <w:name w:val="Table Grid"/>
    <w:basedOn w:val="Tablanormal"/>
    <w:uiPriority w:val="39"/>
    <w:rsid w:val="0063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85735204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aip@sanrafaelcedros.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4</cp:revision>
  <cp:lastPrinted>2020-09-22T15:52:00Z</cp:lastPrinted>
  <dcterms:created xsi:type="dcterms:W3CDTF">2020-11-24T21:11:00Z</dcterms:created>
  <dcterms:modified xsi:type="dcterms:W3CDTF">2021-01-06T17:49:00Z</dcterms:modified>
</cp:coreProperties>
</file>