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2A" w:rsidRPr="00E017A9" w:rsidRDefault="0096432A" w:rsidP="0096432A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E017A9">
        <w:rPr>
          <w:rFonts w:cstheme="minorHAnsi"/>
          <w:b/>
        </w:rPr>
        <w:t xml:space="preserve">MORA GENERADA EN EL MERCADO LA PLACITA, HASTA EL MES DE OCTUBRE DEL AÑO 2020, POR ARRENDAMIENTO DE PUESTOS DE VENTA. </w:t>
      </w:r>
    </w:p>
    <w:p w:rsidR="0096432A" w:rsidRDefault="0096432A" w:rsidP="0096432A">
      <w:pPr>
        <w:spacing w:line="276" w:lineRule="auto"/>
        <w:jc w:val="center"/>
        <w:rPr>
          <w:rFonts w:cstheme="minorHAnsi"/>
        </w:rPr>
      </w:pPr>
      <w:r>
        <w:rPr>
          <w:noProof/>
          <w:lang w:eastAsia="es-SV"/>
        </w:rPr>
        <w:drawing>
          <wp:inline distT="0" distB="0" distL="0" distR="0" wp14:anchorId="248434AD" wp14:editId="7EE5A1FE">
            <wp:extent cx="4737371" cy="2275840"/>
            <wp:effectExtent l="0" t="0" r="6350" b="1016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432A" w:rsidRPr="00E01BE5" w:rsidRDefault="0096432A" w:rsidP="0096432A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es-SV"/>
        </w:rPr>
      </w:pPr>
      <w:r w:rsidRPr="00535E5B">
        <w:rPr>
          <w:rFonts w:eastAsia="Times New Roman" w:cstheme="minorHAnsi"/>
          <w:b/>
          <w:noProof/>
          <w:color w:val="000000"/>
          <w:highlight w:val="yellow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829C" wp14:editId="589385E5">
                <wp:simplePos x="0" y="0"/>
                <wp:positionH relativeFrom="column">
                  <wp:posOffset>3343275</wp:posOffset>
                </wp:positionH>
                <wp:positionV relativeFrom="paragraph">
                  <wp:posOffset>-76200</wp:posOffset>
                </wp:positionV>
                <wp:extent cx="0" cy="17145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" cy="1722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80833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263.25pt;margin-top:-6pt;width:0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" filled="f" stroked="f">
                <v:textbox style="mso-fit-shape-to-text:t" inset="0,0,0,0"/>
              </v:shape>
            </w:pict>
          </mc:Fallback>
        </mc:AlternateContent>
      </w:r>
      <w:r w:rsidRPr="00535E5B">
        <w:rPr>
          <w:rFonts w:eastAsia="Times New Roman" w:cstheme="minorHAnsi"/>
          <w:b/>
          <w:color w:val="000000"/>
          <w:highlight w:val="yellow"/>
          <w:lang w:eastAsia="es-SV"/>
        </w:rPr>
        <w:t xml:space="preserve">Reporte de consolidación de mora por el arrendamiento de puestos de venta en el Mercado Municipal La Placita. La anterior administración no entregó </w:t>
      </w:r>
      <w:r>
        <w:rPr>
          <w:rFonts w:eastAsia="Times New Roman" w:cstheme="minorHAnsi"/>
          <w:b/>
          <w:color w:val="000000"/>
          <w:highlight w:val="yellow"/>
          <w:lang w:eastAsia="es-SV"/>
        </w:rPr>
        <w:t xml:space="preserve">una base de datos ni un informe </w:t>
      </w:r>
      <w:r w:rsidRPr="00535E5B">
        <w:rPr>
          <w:rFonts w:eastAsia="Times New Roman" w:cstheme="minorHAnsi"/>
          <w:b/>
          <w:color w:val="000000"/>
          <w:highlight w:val="yellow"/>
          <w:lang w:eastAsia="es-SV"/>
        </w:rPr>
        <w:t>oficial sobre este tema.</w:t>
      </w:r>
      <w:r>
        <w:rPr>
          <w:rFonts w:eastAsia="Times New Roman" w:cstheme="minorHAnsi"/>
          <w:b/>
          <w:color w:val="000000"/>
          <w:lang w:eastAsia="es-SV"/>
        </w:rPr>
        <w:t xml:space="preserve"> </w:t>
      </w:r>
    </w:p>
    <w:tbl>
      <w:tblPr>
        <w:tblW w:w="6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00"/>
        <w:gridCol w:w="2469"/>
      </w:tblGrid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8F0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8F0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SECTORES </w:t>
            </w:r>
          </w:p>
        </w:tc>
        <w:tc>
          <w:tcPr>
            <w:tcW w:w="2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8F0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Carnes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6,329.72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Cereales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9,883.76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Comedores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10,605.80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Lácteos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1,950.72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Refrescos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1,924.92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Rep. Electrodomésticos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2,130.78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21,171.62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Salas de Belleza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3,375.84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Frutas y Verduras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11,983.96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Tortillas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2,035.88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Pan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1,813.64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Pupusería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3,460.61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Típicos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5,468.20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Pollo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333.00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Jugos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679.00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Ventas Varias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4,804.25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Farmacia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492.00 </w:t>
            </w:r>
          </w:p>
        </w:tc>
      </w:tr>
      <w:tr w:rsidR="0096432A" w:rsidRPr="00E01BE5" w:rsidTr="00746F0E">
        <w:trPr>
          <w:trHeight w:val="15"/>
          <w:jc w:val="center"/>
        </w:trPr>
        <w:tc>
          <w:tcPr>
            <w:tcW w:w="40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</w:t>
            </w:r>
          </w:p>
        </w:tc>
        <w:tc>
          <w:tcPr>
            <w:tcW w:w="24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 $       88,443.70 </w:t>
            </w:r>
            <w:r>
              <w:rPr>
                <w:rStyle w:val="Refdenotaalpie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footnoteReference w:id="1"/>
            </w:r>
          </w:p>
        </w:tc>
      </w:tr>
    </w:tbl>
    <w:p w:rsidR="0096432A" w:rsidRPr="00E01BE5" w:rsidRDefault="0096432A" w:rsidP="0096432A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E01BE5">
        <w:rPr>
          <w:rFonts w:cstheme="minorHAnsi"/>
          <w:b/>
        </w:rPr>
        <w:lastRenderedPageBreak/>
        <w:t xml:space="preserve">MORA GENERADA EN EL MERCADO LA PLACITA, HASTA EL MES DE OCTUBRE DEL AÑO 2020, POR </w:t>
      </w:r>
      <w:r>
        <w:rPr>
          <w:rFonts w:cstheme="minorHAnsi"/>
          <w:b/>
        </w:rPr>
        <w:t xml:space="preserve">SERVICIO DE ENERGÍA ELÉCTRICA. </w:t>
      </w:r>
      <w:r w:rsidRPr="00E01BE5">
        <w:rPr>
          <w:rFonts w:cstheme="minorHAnsi"/>
          <w:b/>
        </w:rPr>
        <w:t xml:space="preserve"> </w:t>
      </w:r>
    </w:p>
    <w:p w:rsidR="0096432A" w:rsidRDefault="0096432A" w:rsidP="0096432A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96432A" w:rsidRPr="00E01BE5" w:rsidRDefault="0096432A" w:rsidP="0096432A">
      <w:pPr>
        <w:pStyle w:val="Prrafodelista"/>
        <w:spacing w:line="276" w:lineRule="auto"/>
        <w:ind w:left="1080"/>
        <w:rPr>
          <w:rFonts w:ascii="Arial" w:hAnsi="Arial" w:cs="Arial"/>
          <w:b/>
          <w:sz w:val="21"/>
          <w:szCs w:val="21"/>
        </w:rPr>
      </w:pPr>
      <w:r>
        <w:rPr>
          <w:noProof/>
          <w:lang w:eastAsia="es-SV"/>
        </w:rPr>
        <w:drawing>
          <wp:inline distT="0" distB="0" distL="0" distR="0" wp14:anchorId="2E847942" wp14:editId="2B2CB55D">
            <wp:extent cx="4905375" cy="24384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4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484"/>
        <w:gridCol w:w="1450"/>
      </w:tblGrid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8F0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24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8F0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SECTORES </w:t>
            </w:r>
          </w:p>
        </w:tc>
        <w:tc>
          <w:tcPr>
            <w:tcW w:w="14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8F0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Carnes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3,169.38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Cereales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1,040.71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Comedores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6,270.51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Farmacia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207.08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Lácteos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2,553.03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Molino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143.31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Pollos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1,857.09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Jugos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938.77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Refrescos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513.24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Rep. Electrodomésticos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187.05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6,514.46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Salas de Belleza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1,582.35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Venta de Hielo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704.72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Baños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111.00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Especies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70.06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Ferretería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12.30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Frutas y Verduras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323.82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Antojitos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132.60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Local Cisterna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84.30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Mariscos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108.57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Pan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360.07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Pupusería</w:t>
            </w:r>
            <w:bookmarkStart w:id="0" w:name="_GoBack"/>
            <w:bookmarkEnd w:id="0"/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Típicos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248.92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5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24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Típicos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526.60 </w:t>
            </w:r>
          </w:p>
        </w:tc>
      </w:tr>
      <w:tr w:rsidR="0096432A" w:rsidRPr="00E01BE5" w:rsidTr="00746F0E">
        <w:trPr>
          <w:trHeight w:val="19"/>
          <w:jc w:val="center"/>
        </w:trPr>
        <w:tc>
          <w:tcPr>
            <w:tcW w:w="301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 $27,659.94 </w:t>
            </w:r>
          </w:p>
        </w:tc>
      </w:tr>
    </w:tbl>
    <w:p w:rsidR="0096432A" w:rsidRPr="00E01BE5" w:rsidRDefault="0096432A" w:rsidP="0096432A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E01BE5">
        <w:rPr>
          <w:rFonts w:cstheme="minorHAnsi"/>
          <w:b/>
        </w:rPr>
        <w:lastRenderedPageBreak/>
        <w:t xml:space="preserve">MORA GENERADA EN EL MERCADO LAS COLINAS, HASTA EL MES DE OCTUBRE DEL AÑO 2020, POR ARRENDAMIENTO DE PUESTOS DE VENTA. </w:t>
      </w:r>
    </w:p>
    <w:p w:rsidR="0096432A" w:rsidRDefault="0096432A" w:rsidP="0096432A">
      <w:pPr>
        <w:spacing w:line="276" w:lineRule="auto"/>
        <w:jc w:val="center"/>
        <w:rPr>
          <w:rFonts w:cstheme="minorHAnsi"/>
        </w:rPr>
      </w:pPr>
      <w:r>
        <w:rPr>
          <w:noProof/>
          <w:lang w:eastAsia="es-SV"/>
        </w:rPr>
        <w:drawing>
          <wp:inline distT="0" distB="0" distL="0" distR="0" wp14:anchorId="6D368933" wp14:editId="603A5041">
            <wp:extent cx="5295901" cy="2962275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5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971"/>
        <w:gridCol w:w="1796"/>
      </w:tblGrid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757171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29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757171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SECTORES 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757171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MONTOS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599.08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597.05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162.53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529.04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410.72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410.72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869.04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Bazares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62.56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Cereales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1,780.92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Cereales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601.12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Comedores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582.08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Comedores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62.56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Comedores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187.68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Comedores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62.56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Comedores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62.56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Comedores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252.96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Desechables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620.84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Frutas y Verduras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602.48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Frutas y Verduras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519.52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Frutas y Verduras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1,611.60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Frutas y Verduras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506.60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Frutas y Verduras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1,001.64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23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Frutas y Verduras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41.48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Lácteos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1,292.00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Lácteos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622.20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Lácteos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41.48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Mariscos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1,203.60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Pan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51.68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Rep. Eléctricas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1,346.40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Típicos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574.50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Típicos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493.00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Típicos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517.48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Típicos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41.48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Tortillas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670.48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Tortillas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24.48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Venta de Accesorios para C´D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311.44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Venta de C´D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583.44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Venta de Tamales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590.92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center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29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Venta de Atoles 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497B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392.36 </w:t>
            </w:r>
          </w:p>
        </w:tc>
      </w:tr>
      <w:tr w:rsidR="0096432A" w:rsidRPr="00E01BE5" w:rsidTr="00746F0E">
        <w:trPr>
          <w:trHeight w:val="20"/>
          <w:jc w:val="center"/>
        </w:trPr>
        <w:tc>
          <w:tcPr>
            <w:tcW w:w="35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0600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6000"/>
            <w:noWrap/>
            <w:vAlign w:val="bottom"/>
            <w:hideMark/>
          </w:tcPr>
          <w:p w:rsidR="0096432A" w:rsidRPr="00E01BE5" w:rsidRDefault="0096432A" w:rsidP="00746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01BE5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$          20,894.28 </w:t>
            </w:r>
          </w:p>
        </w:tc>
      </w:tr>
    </w:tbl>
    <w:p w:rsidR="0096432A" w:rsidRPr="00646EC0" w:rsidRDefault="0096432A" w:rsidP="0096432A">
      <w:pPr>
        <w:spacing w:line="276" w:lineRule="auto"/>
        <w:jc w:val="both"/>
        <w:rPr>
          <w:rFonts w:cstheme="minorHAnsi"/>
        </w:rPr>
      </w:pPr>
    </w:p>
    <w:p w:rsidR="0096432A" w:rsidRPr="00523D8A" w:rsidRDefault="0096432A" w:rsidP="0096432A">
      <w:pPr>
        <w:jc w:val="both"/>
        <w:rPr>
          <w:rFonts w:cstheme="minorHAnsi"/>
        </w:rPr>
      </w:pPr>
      <w:r>
        <w:rPr>
          <w:rFonts w:cstheme="minorHAnsi"/>
        </w:rPr>
        <w:t xml:space="preserve">Sin más que agregar, </w:t>
      </w:r>
    </w:p>
    <w:p w:rsidR="0096432A" w:rsidRDefault="0096432A" w:rsidP="0096432A">
      <w:pPr>
        <w:spacing w:after="0" w:line="240" w:lineRule="auto"/>
        <w:ind w:left="3540"/>
        <w:jc w:val="center"/>
        <w:rPr>
          <w:rFonts w:cstheme="minorHAnsi"/>
        </w:rPr>
      </w:pPr>
    </w:p>
    <w:p w:rsidR="0096432A" w:rsidRDefault="0096432A" w:rsidP="0096432A">
      <w:pPr>
        <w:spacing w:after="0" w:line="240" w:lineRule="auto"/>
        <w:ind w:left="3540"/>
        <w:jc w:val="center"/>
        <w:rPr>
          <w:rFonts w:cstheme="minorHAnsi"/>
        </w:rPr>
      </w:pPr>
    </w:p>
    <w:p w:rsidR="0096432A" w:rsidRDefault="0096432A" w:rsidP="0096432A">
      <w:pPr>
        <w:spacing w:after="0" w:line="240" w:lineRule="auto"/>
        <w:ind w:left="3540"/>
        <w:jc w:val="center"/>
        <w:rPr>
          <w:rFonts w:cstheme="minorHAnsi"/>
        </w:rPr>
      </w:pPr>
    </w:p>
    <w:p w:rsidR="0096432A" w:rsidRDefault="0096432A" w:rsidP="0096432A">
      <w:pPr>
        <w:spacing w:after="0" w:line="240" w:lineRule="auto"/>
        <w:ind w:left="3540"/>
        <w:jc w:val="center"/>
        <w:rPr>
          <w:rFonts w:cstheme="minorHAnsi"/>
        </w:rPr>
      </w:pPr>
      <w:r>
        <w:rPr>
          <w:rFonts w:cstheme="minorHAnsi"/>
        </w:rPr>
        <w:t>Lic. Hemerson Bolaños</w:t>
      </w:r>
    </w:p>
    <w:p w:rsidR="0096432A" w:rsidRDefault="0096432A" w:rsidP="0096432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Gerente de Desarrollo Económico Local.</w:t>
      </w:r>
    </w:p>
    <w:p w:rsidR="0096432A" w:rsidRPr="00523D8A" w:rsidRDefault="0096432A" w:rsidP="0096432A">
      <w:pPr>
        <w:jc w:val="both"/>
        <w:rPr>
          <w:rFonts w:cstheme="minorHAnsi"/>
        </w:rPr>
      </w:pPr>
    </w:p>
    <w:p w:rsidR="0096432A" w:rsidRDefault="0096432A" w:rsidP="0096432A">
      <w:pPr>
        <w:jc w:val="both"/>
        <w:rPr>
          <w:rFonts w:cstheme="minorHAnsi"/>
        </w:rPr>
      </w:pPr>
    </w:p>
    <w:p w:rsidR="0096432A" w:rsidRPr="0096220B" w:rsidRDefault="0096432A" w:rsidP="0096432A">
      <w:pPr>
        <w:jc w:val="both"/>
        <w:rPr>
          <w:rFonts w:cstheme="minorHAnsi"/>
        </w:rPr>
      </w:pPr>
    </w:p>
    <w:p w:rsidR="009E0646" w:rsidRDefault="006C368C"/>
    <w:sectPr w:rsidR="009E06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C" w:rsidRDefault="006C368C" w:rsidP="0096432A">
      <w:pPr>
        <w:spacing w:after="0" w:line="240" w:lineRule="auto"/>
      </w:pPr>
      <w:r>
        <w:separator/>
      </w:r>
    </w:p>
  </w:endnote>
  <w:endnote w:type="continuationSeparator" w:id="0">
    <w:p w:rsidR="006C368C" w:rsidRDefault="006C368C" w:rsidP="0096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C" w:rsidRDefault="006C368C" w:rsidP="0096432A">
      <w:pPr>
        <w:spacing w:after="0" w:line="240" w:lineRule="auto"/>
      </w:pPr>
      <w:r>
        <w:separator/>
      </w:r>
    </w:p>
  </w:footnote>
  <w:footnote w:type="continuationSeparator" w:id="0">
    <w:p w:rsidR="006C368C" w:rsidRDefault="006C368C" w:rsidP="0096432A">
      <w:pPr>
        <w:spacing w:after="0" w:line="240" w:lineRule="auto"/>
      </w:pPr>
      <w:r>
        <w:continuationSeparator/>
      </w:r>
    </w:p>
  </w:footnote>
  <w:footnote w:id="1">
    <w:p w:rsidR="0096432A" w:rsidRPr="00535E5B" w:rsidRDefault="0096432A" w:rsidP="0096432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El monto de la mora incrementó en gran manera debido a que muchas personas no comercializaron en el marco de la pandemia Covid-19, debido a las restricciones comerciales establecidas. Aunado a lo antes expuesto, no cancelaron la tasa establecida por su puesto de venta y por el suministro de energía eléctrica. Uno de esos casos, es el sector bazares, ya que ningún arrendatario comercializó sus productos.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3B47"/>
    <w:multiLevelType w:val="hybridMultilevel"/>
    <w:tmpl w:val="0868F58A"/>
    <w:lvl w:ilvl="0" w:tplc="9C1EA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A"/>
    <w:rsid w:val="00003ABA"/>
    <w:rsid w:val="00290CB6"/>
    <w:rsid w:val="00303353"/>
    <w:rsid w:val="006C368C"/>
    <w:rsid w:val="009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2F0B3-2D27-4F63-89CE-02824E2F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3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43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43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RA%20DE%20ARRENDAMIENTO%20DE%20MERCADOS%20MUNICIPALES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RA%20DE%20ARRENDAMIENTO%20DE%20MERCADOS%20MUNICIPALES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RA%20DE%20ARRENDAMIENTO%20DE%20MERCADOS%20MUNICIPALES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MORA</a:t>
            </a:r>
            <a:r>
              <a:rPr lang="en-US" baseline="0"/>
              <a:t> DE ARRENDAMIENTO DEL MERCADO MUNICIPAL LA PLACITA 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'Mora Placita Actualizada'!$C$3</c:f>
              <c:strCache>
                <c:ptCount val="1"/>
                <c:pt idx="0">
                  <c:v>MONTO </c:v>
                </c:pt>
              </c:strCache>
            </c:strRef>
          </c:tx>
          <c:spPr>
            <a:ln w="22225" cap="rnd">
              <a:solidFill>
                <a:schemeClr val="accent4">
                  <a:lumMod val="50000"/>
                </a:schemeClr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'Mora Placita Actualizada'!$B$4:$B$20</c:f>
              <c:strCache>
                <c:ptCount val="17"/>
                <c:pt idx="0">
                  <c:v>Carnes </c:v>
                </c:pt>
                <c:pt idx="1">
                  <c:v>Cereales </c:v>
                </c:pt>
                <c:pt idx="2">
                  <c:v>Comedores </c:v>
                </c:pt>
                <c:pt idx="3">
                  <c:v>Lacteos </c:v>
                </c:pt>
                <c:pt idx="4">
                  <c:v>Refrescos </c:v>
                </c:pt>
                <c:pt idx="5">
                  <c:v>Rep. Electrodomesticos </c:v>
                </c:pt>
                <c:pt idx="6">
                  <c:v>Bazares </c:v>
                </c:pt>
                <c:pt idx="7">
                  <c:v>Salas de Belleza </c:v>
                </c:pt>
                <c:pt idx="8">
                  <c:v>Frutas y Verduras </c:v>
                </c:pt>
                <c:pt idx="9">
                  <c:v>Tortillas </c:v>
                </c:pt>
                <c:pt idx="10">
                  <c:v>Pan </c:v>
                </c:pt>
                <c:pt idx="11">
                  <c:v>Pupuseria</c:v>
                </c:pt>
                <c:pt idx="12">
                  <c:v>Tipicos </c:v>
                </c:pt>
                <c:pt idx="13">
                  <c:v>Pollo </c:v>
                </c:pt>
                <c:pt idx="14">
                  <c:v>Jugos </c:v>
                </c:pt>
                <c:pt idx="15">
                  <c:v>Ventas Varias </c:v>
                </c:pt>
                <c:pt idx="16">
                  <c:v>Farmacia </c:v>
                </c:pt>
              </c:strCache>
            </c:strRef>
          </c:cat>
          <c:val>
            <c:numRef>
              <c:f>'Mora Placita Actualizada'!$C$4:$C$20</c:f>
              <c:numCache>
                <c:formatCode>_("$"* #,##0.00_);_("$"* \(#,##0.00\);_("$"* "-"??_);_(@_)</c:formatCode>
                <c:ptCount val="17"/>
                <c:pt idx="0" formatCode="_-&quot;$&quot;* #,##0.00_-;\-&quot;$&quot;* #,##0.00_-;_-&quot;$&quot;* &quot;-&quot;??_-;_-@_-">
                  <c:v>6329.72</c:v>
                </c:pt>
                <c:pt idx="1">
                  <c:v>9883.76</c:v>
                </c:pt>
                <c:pt idx="2">
                  <c:v>10605.8</c:v>
                </c:pt>
                <c:pt idx="3">
                  <c:v>1950.72</c:v>
                </c:pt>
                <c:pt idx="4">
                  <c:v>1924.92</c:v>
                </c:pt>
                <c:pt idx="5">
                  <c:v>2130.7800000000002</c:v>
                </c:pt>
                <c:pt idx="6">
                  <c:v>21171.62</c:v>
                </c:pt>
                <c:pt idx="7">
                  <c:v>3375.84</c:v>
                </c:pt>
                <c:pt idx="8">
                  <c:v>11983.96</c:v>
                </c:pt>
                <c:pt idx="9">
                  <c:v>2035.88</c:v>
                </c:pt>
                <c:pt idx="10">
                  <c:v>1813.64</c:v>
                </c:pt>
                <c:pt idx="11">
                  <c:v>3460.61</c:v>
                </c:pt>
                <c:pt idx="12">
                  <c:v>5468.2</c:v>
                </c:pt>
                <c:pt idx="13">
                  <c:v>333</c:v>
                </c:pt>
                <c:pt idx="14">
                  <c:v>679</c:v>
                </c:pt>
                <c:pt idx="15">
                  <c:v>4804.25</c:v>
                </c:pt>
                <c:pt idx="16">
                  <c:v>492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5-4BB6-9FA9-74892C2AB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950352"/>
        <c:axId val="169950912"/>
      </c:lineChart>
      <c:catAx>
        <c:axId val="1699503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950912"/>
        <c:crosses val="autoZero"/>
        <c:auto val="1"/>
        <c:lblAlgn val="ctr"/>
        <c:lblOffset val="100"/>
        <c:noMultiLvlLbl val="0"/>
      </c:catAx>
      <c:valAx>
        <c:axId val="16995091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-&quot;$&quot;* #,##0.00_-;\-&quot;$&quot;* #,##0.0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95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tx2">
        <a:lumMod val="50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>
                <a:solidFill>
                  <a:sysClr val="windowText" lastClr="000000"/>
                </a:solidFill>
              </a:rPr>
              <a:t>CONSOLIDADO</a:t>
            </a:r>
            <a:r>
              <a:rPr lang="en-US" sz="1400" baseline="0">
                <a:solidFill>
                  <a:sysClr val="windowText" lastClr="000000"/>
                </a:solidFill>
              </a:rPr>
              <a:t> DE MORA DE ENERGIA ELECTRICA DE MERCADO MUNICIPAL LA PLACITA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400" baseline="0">
                <a:solidFill>
                  <a:sysClr val="windowText" lastClr="000000"/>
                </a:solidFill>
              </a:rPr>
              <a:t> </a:t>
            </a:r>
            <a:endParaRPr lang="en-US" sz="14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'Mora de Energia Electrica Placi'!$C$4</c:f>
              <c:strCache>
                <c:ptCount val="1"/>
                <c:pt idx="0">
                  <c:v>MONTO </c:v>
                </c:pt>
              </c:strCache>
            </c:strRef>
          </c:tx>
          <c:spPr>
            <a:ln w="22225" cap="rnd">
              <a:solidFill>
                <a:schemeClr val="accent5">
                  <a:lumMod val="75000"/>
                </a:schemeClr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'Mora de Energia Electrica Placi'!$B$5:$B$27</c:f>
              <c:strCache>
                <c:ptCount val="23"/>
                <c:pt idx="0">
                  <c:v>Carnes </c:v>
                </c:pt>
                <c:pt idx="1">
                  <c:v>Cereales </c:v>
                </c:pt>
                <c:pt idx="2">
                  <c:v>Comedores </c:v>
                </c:pt>
                <c:pt idx="3">
                  <c:v>Farmacia </c:v>
                </c:pt>
                <c:pt idx="4">
                  <c:v>Lacteos </c:v>
                </c:pt>
                <c:pt idx="5">
                  <c:v>Molino </c:v>
                </c:pt>
                <c:pt idx="6">
                  <c:v>Pollos </c:v>
                </c:pt>
                <c:pt idx="7">
                  <c:v>Jugos </c:v>
                </c:pt>
                <c:pt idx="8">
                  <c:v>Refrescos </c:v>
                </c:pt>
                <c:pt idx="9">
                  <c:v>Rep. Electrodomesticos </c:v>
                </c:pt>
                <c:pt idx="10">
                  <c:v>Bazares </c:v>
                </c:pt>
                <c:pt idx="11">
                  <c:v>Salas de Belleza </c:v>
                </c:pt>
                <c:pt idx="12">
                  <c:v>Venta de Hielo </c:v>
                </c:pt>
                <c:pt idx="13">
                  <c:v>Baños </c:v>
                </c:pt>
                <c:pt idx="14">
                  <c:v>Especies </c:v>
                </c:pt>
                <c:pt idx="15">
                  <c:v>Ferreteria </c:v>
                </c:pt>
                <c:pt idx="16">
                  <c:v>Frutas y Verduras </c:v>
                </c:pt>
                <c:pt idx="17">
                  <c:v>Antojitos </c:v>
                </c:pt>
                <c:pt idx="18">
                  <c:v>Local Cisterna </c:v>
                </c:pt>
                <c:pt idx="19">
                  <c:v>Mariscos </c:v>
                </c:pt>
                <c:pt idx="20">
                  <c:v>Pan </c:v>
                </c:pt>
                <c:pt idx="21">
                  <c:v>Pupuseria Tipicos </c:v>
                </c:pt>
                <c:pt idx="22">
                  <c:v>Tipicos </c:v>
                </c:pt>
              </c:strCache>
            </c:strRef>
          </c:cat>
          <c:val>
            <c:numRef>
              <c:f>'Mora de Energia Electrica Placi'!$C$5:$C$27</c:f>
              <c:numCache>
                <c:formatCode>_("$"* #,##0.00_);_("$"* \(#,##0.00\);_("$"* "-"??_);_(@_)</c:formatCode>
                <c:ptCount val="23"/>
                <c:pt idx="0">
                  <c:v>3169.38</c:v>
                </c:pt>
                <c:pt idx="1">
                  <c:v>1040.71</c:v>
                </c:pt>
                <c:pt idx="2">
                  <c:v>6270.51</c:v>
                </c:pt>
                <c:pt idx="3">
                  <c:v>207.08</c:v>
                </c:pt>
                <c:pt idx="4">
                  <c:v>2553.0300000000002</c:v>
                </c:pt>
                <c:pt idx="5">
                  <c:v>143.31</c:v>
                </c:pt>
                <c:pt idx="6">
                  <c:v>1857.09</c:v>
                </c:pt>
                <c:pt idx="7">
                  <c:v>938.77</c:v>
                </c:pt>
                <c:pt idx="8">
                  <c:v>513.24</c:v>
                </c:pt>
                <c:pt idx="9">
                  <c:v>187.05</c:v>
                </c:pt>
                <c:pt idx="10">
                  <c:v>6514.46</c:v>
                </c:pt>
                <c:pt idx="11">
                  <c:v>1582.35</c:v>
                </c:pt>
                <c:pt idx="12">
                  <c:v>704.72</c:v>
                </c:pt>
                <c:pt idx="13">
                  <c:v>111</c:v>
                </c:pt>
                <c:pt idx="14">
                  <c:v>70.06</c:v>
                </c:pt>
                <c:pt idx="15">
                  <c:v>12.3</c:v>
                </c:pt>
                <c:pt idx="16">
                  <c:v>323.82</c:v>
                </c:pt>
                <c:pt idx="17">
                  <c:v>132.6</c:v>
                </c:pt>
                <c:pt idx="18">
                  <c:v>84.3</c:v>
                </c:pt>
                <c:pt idx="19">
                  <c:v>108.57</c:v>
                </c:pt>
                <c:pt idx="20">
                  <c:v>360.07</c:v>
                </c:pt>
                <c:pt idx="21">
                  <c:v>248.92</c:v>
                </c:pt>
                <c:pt idx="22">
                  <c:v>526.6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44-4449-B3C8-2536BB1F1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948112"/>
        <c:axId val="169948672"/>
      </c:lineChart>
      <c:catAx>
        <c:axId val="1699481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948672"/>
        <c:crosses val="autoZero"/>
        <c:auto val="1"/>
        <c:lblAlgn val="ctr"/>
        <c:lblOffset val="100"/>
        <c:noMultiLvlLbl val="0"/>
      </c:catAx>
      <c:valAx>
        <c:axId val="1699486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94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7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MORA DE ARRENDAMIENTO DE COLINAS DEL NORTE.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'Mora Arrendamiento Colinas Nort'!$C$2</c:f>
              <c:strCache>
                <c:ptCount val="1"/>
                <c:pt idx="0">
                  <c:v>MONTOS 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'Mora Arrendamiento Colinas Nort'!$B$3:$B$41</c:f>
              <c:strCache>
                <c:ptCount val="39"/>
                <c:pt idx="0">
                  <c:v>Bazares </c:v>
                </c:pt>
                <c:pt idx="1">
                  <c:v>Bazares </c:v>
                </c:pt>
                <c:pt idx="2">
                  <c:v>Bazares </c:v>
                </c:pt>
                <c:pt idx="3">
                  <c:v>Bazares </c:v>
                </c:pt>
                <c:pt idx="4">
                  <c:v>Bazares </c:v>
                </c:pt>
                <c:pt idx="5">
                  <c:v>Bazares </c:v>
                </c:pt>
                <c:pt idx="6">
                  <c:v>Bazares </c:v>
                </c:pt>
                <c:pt idx="7">
                  <c:v>Bazares </c:v>
                </c:pt>
                <c:pt idx="8">
                  <c:v>Cereales </c:v>
                </c:pt>
                <c:pt idx="9">
                  <c:v>Cereales </c:v>
                </c:pt>
                <c:pt idx="10">
                  <c:v>Comedores </c:v>
                </c:pt>
                <c:pt idx="11">
                  <c:v>Comedores </c:v>
                </c:pt>
                <c:pt idx="12">
                  <c:v>Comedores </c:v>
                </c:pt>
                <c:pt idx="13">
                  <c:v>Comedores </c:v>
                </c:pt>
                <c:pt idx="14">
                  <c:v>Comedores </c:v>
                </c:pt>
                <c:pt idx="15">
                  <c:v>Comedores </c:v>
                </c:pt>
                <c:pt idx="16">
                  <c:v>Desechables </c:v>
                </c:pt>
                <c:pt idx="17">
                  <c:v>Frutas y Verduras </c:v>
                </c:pt>
                <c:pt idx="18">
                  <c:v>Frutas y Verduras </c:v>
                </c:pt>
                <c:pt idx="19">
                  <c:v>Frutas y Verduras </c:v>
                </c:pt>
                <c:pt idx="20">
                  <c:v>Frutas y Verduras </c:v>
                </c:pt>
                <c:pt idx="21">
                  <c:v>Frutas y Verduras </c:v>
                </c:pt>
                <c:pt idx="22">
                  <c:v>Frutas y Verduras </c:v>
                </c:pt>
                <c:pt idx="23">
                  <c:v>Lacteos </c:v>
                </c:pt>
                <c:pt idx="24">
                  <c:v>Lacteos </c:v>
                </c:pt>
                <c:pt idx="25">
                  <c:v>Lacteos </c:v>
                </c:pt>
                <c:pt idx="26">
                  <c:v>Mariscos </c:v>
                </c:pt>
                <c:pt idx="27">
                  <c:v>Pan </c:v>
                </c:pt>
                <c:pt idx="28">
                  <c:v>Rep. Electricas </c:v>
                </c:pt>
                <c:pt idx="29">
                  <c:v>Tipicos </c:v>
                </c:pt>
                <c:pt idx="30">
                  <c:v>Tipicos </c:v>
                </c:pt>
                <c:pt idx="31">
                  <c:v>Tipicos </c:v>
                </c:pt>
                <c:pt idx="32">
                  <c:v>Tipicos </c:v>
                </c:pt>
                <c:pt idx="33">
                  <c:v>Tortillas </c:v>
                </c:pt>
                <c:pt idx="34">
                  <c:v>Tortillas </c:v>
                </c:pt>
                <c:pt idx="35">
                  <c:v>Venta de Accesorios para C´D</c:v>
                </c:pt>
                <c:pt idx="36">
                  <c:v>Venta de C´D</c:v>
                </c:pt>
                <c:pt idx="37">
                  <c:v>Venta de Tamales </c:v>
                </c:pt>
                <c:pt idx="38">
                  <c:v>Venta de Atoles </c:v>
                </c:pt>
              </c:strCache>
            </c:strRef>
          </c:cat>
          <c:val>
            <c:numRef>
              <c:f>'Mora Arrendamiento Colinas Nort'!$C$3:$C$41</c:f>
              <c:numCache>
                <c:formatCode>_("$"* #,##0.00_);_("$"* \(#,##0.00\);_("$"* "-"??_);_(@_)</c:formatCode>
                <c:ptCount val="39"/>
                <c:pt idx="0">
                  <c:v>599.08000000000004</c:v>
                </c:pt>
                <c:pt idx="1">
                  <c:v>597.04999999999995</c:v>
                </c:pt>
                <c:pt idx="2">
                  <c:v>162.53</c:v>
                </c:pt>
                <c:pt idx="3">
                  <c:v>529.04</c:v>
                </c:pt>
                <c:pt idx="4">
                  <c:v>410.72</c:v>
                </c:pt>
                <c:pt idx="5">
                  <c:v>410.72</c:v>
                </c:pt>
                <c:pt idx="6">
                  <c:v>869.04</c:v>
                </c:pt>
                <c:pt idx="7">
                  <c:v>62.56</c:v>
                </c:pt>
                <c:pt idx="8">
                  <c:v>1780.92</c:v>
                </c:pt>
                <c:pt idx="9">
                  <c:v>601.12</c:v>
                </c:pt>
                <c:pt idx="10">
                  <c:v>582.08000000000004</c:v>
                </c:pt>
                <c:pt idx="11">
                  <c:v>62.56</c:v>
                </c:pt>
                <c:pt idx="12">
                  <c:v>187.68</c:v>
                </c:pt>
                <c:pt idx="13">
                  <c:v>62.56</c:v>
                </c:pt>
                <c:pt idx="14">
                  <c:v>62.56</c:v>
                </c:pt>
                <c:pt idx="15">
                  <c:v>252.96</c:v>
                </c:pt>
                <c:pt idx="16">
                  <c:v>620.84</c:v>
                </c:pt>
                <c:pt idx="17">
                  <c:v>602.48</c:v>
                </c:pt>
                <c:pt idx="18">
                  <c:v>519.52</c:v>
                </c:pt>
                <c:pt idx="19">
                  <c:v>1611.6</c:v>
                </c:pt>
                <c:pt idx="20">
                  <c:v>506.6</c:v>
                </c:pt>
                <c:pt idx="21">
                  <c:v>1001.64</c:v>
                </c:pt>
                <c:pt idx="22">
                  <c:v>41.48</c:v>
                </c:pt>
                <c:pt idx="23">
                  <c:v>1292</c:v>
                </c:pt>
                <c:pt idx="24">
                  <c:v>622.20000000000005</c:v>
                </c:pt>
                <c:pt idx="25">
                  <c:v>41.48</c:v>
                </c:pt>
                <c:pt idx="26">
                  <c:v>1203.5999999999999</c:v>
                </c:pt>
                <c:pt idx="27">
                  <c:v>51.68</c:v>
                </c:pt>
                <c:pt idx="28">
                  <c:v>1346.4</c:v>
                </c:pt>
                <c:pt idx="29">
                  <c:v>574.5</c:v>
                </c:pt>
                <c:pt idx="30">
                  <c:v>493</c:v>
                </c:pt>
                <c:pt idx="31">
                  <c:v>517.48</c:v>
                </c:pt>
                <c:pt idx="32">
                  <c:v>41.48</c:v>
                </c:pt>
                <c:pt idx="33">
                  <c:v>670.48</c:v>
                </c:pt>
                <c:pt idx="34">
                  <c:v>24.48</c:v>
                </c:pt>
                <c:pt idx="35">
                  <c:v>311.44</c:v>
                </c:pt>
                <c:pt idx="36">
                  <c:v>583.44000000000005</c:v>
                </c:pt>
                <c:pt idx="37">
                  <c:v>590.91999999999996</c:v>
                </c:pt>
                <c:pt idx="38">
                  <c:v>392.36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4F-49EB-90B6-3F68F9D99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953152"/>
        <c:axId val="169953712"/>
      </c:lineChart>
      <c:catAx>
        <c:axId val="16995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953712"/>
        <c:crosses val="autoZero"/>
        <c:auto val="1"/>
        <c:lblAlgn val="ctr"/>
        <c:lblOffset val="100"/>
        <c:noMultiLvlLbl val="0"/>
      </c:catAx>
      <c:valAx>
        <c:axId val="16995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95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50000"/>
      </a:schemeClr>
    </a:soli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Mancia Hernandez</dc:creator>
  <cp:keywords/>
  <dc:description/>
  <cp:lastModifiedBy>Elmer Mancia Hernandez</cp:lastModifiedBy>
  <cp:revision>2</cp:revision>
  <dcterms:created xsi:type="dcterms:W3CDTF">2020-12-02T19:45:00Z</dcterms:created>
  <dcterms:modified xsi:type="dcterms:W3CDTF">2020-12-02T19:48:00Z</dcterms:modified>
</cp:coreProperties>
</file>