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F17A4F" w:rsidRDefault="00F17A4F" w:rsidP="00C47ACB">
      <w:pPr>
        <w:pStyle w:val="Encabezado"/>
        <w:spacing w:line="360" w:lineRule="auto"/>
        <w:ind w:right="360"/>
        <w:jc w:val="both"/>
        <w:rPr>
          <w:rFonts w:ascii="Tahoma" w:hAnsi="Tahoma" w:cs="Tahoma"/>
          <w:i/>
          <w:lang w:val="es-SV"/>
        </w:rPr>
      </w:pPr>
    </w:p>
    <w:p w:rsidR="00C47ACB" w:rsidRPr="000C7EBC" w:rsidRDefault="00200CD3" w:rsidP="00C47ACB">
      <w:pPr>
        <w:pStyle w:val="Encabezado"/>
        <w:spacing w:line="360" w:lineRule="auto"/>
        <w:ind w:right="360"/>
        <w:jc w:val="both"/>
        <w:rPr>
          <w:rFonts w:ascii="Tahoma" w:hAnsi="Tahoma" w:cs="Tahoma"/>
          <w:i/>
          <w:lang w:val="es-SV"/>
        </w:rPr>
      </w:pPr>
      <w:r w:rsidRPr="000C7EBC">
        <w:rPr>
          <w:rFonts w:ascii="Tahoma" w:hAnsi="Tahoma" w:cs="Tahoma"/>
          <w:i/>
          <w:lang w:val="es-SV"/>
        </w:rPr>
        <w:t xml:space="preserve">Acta de Consejo Directivo N° </w:t>
      </w:r>
      <w:r w:rsidR="00F96D43">
        <w:rPr>
          <w:rFonts w:ascii="Tahoma" w:hAnsi="Tahoma" w:cs="Tahoma"/>
          <w:i/>
          <w:lang w:val="es-SV"/>
        </w:rPr>
        <w:t>1635</w:t>
      </w:r>
      <w:r w:rsidR="00C43F8E" w:rsidRPr="003C51AF">
        <w:rPr>
          <w:rFonts w:ascii="Tahoma" w:hAnsi="Tahoma" w:cs="Tahoma"/>
          <w:i/>
          <w:lang w:val="es-SV"/>
        </w:rPr>
        <w:t>/</w:t>
      </w:r>
      <w:r w:rsidR="006835C7" w:rsidRPr="003C51AF">
        <w:rPr>
          <w:rFonts w:ascii="Tahoma" w:hAnsi="Tahoma" w:cs="Tahoma"/>
          <w:i/>
          <w:lang w:val="es-SV"/>
        </w:rPr>
        <w:t>2022</w:t>
      </w:r>
      <w:r w:rsidR="004F29D0" w:rsidRPr="003C51AF">
        <w:rPr>
          <w:rFonts w:ascii="Tahoma" w:hAnsi="Tahoma" w:cs="Tahoma"/>
          <w:i/>
          <w:lang w:val="es-SV"/>
        </w:rPr>
        <w:t>.</w:t>
      </w:r>
    </w:p>
    <w:p w:rsidR="002C2291" w:rsidRPr="000C7EBC" w:rsidRDefault="00F96D43" w:rsidP="009E4035">
      <w:pPr>
        <w:pStyle w:val="Encabezado"/>
        <w:spacing w:line="360" w:lineRule="auto"/>
        <w:ind w:right="360"/>
        <w:jc w:val="both"/>
        <w:rPr>
          <w:rFonts w:ascii="Tahoma" w:hAnsi="Tahoma" w:cs="Tahoma"/>
          <w:i/>
          <w:lang w:val="es-SV"/>
        </w:rPr>
      </w:pPr>
      <w:r>
        <w:rPr>
          <w:rFonts w:ascii="Tahoma" w:hAnsi="Tahoma" w:cs="Tahoma"/>
          <w:i/>
          <w:lang w:val="es-SV"/>
        </w:rPr>
        <w:t>31</w:t>
      </w:r>
      <w:r w:rsidR="00EA502B">
        <w:rPr>
          <w:rFonts w:ascii="Tahoma" w:hAnsi="Tahoma" w:cs="Tahoma"/>
          <w:i/>
          <w:lang w:val="es-SV"/>
        </w:rPr>
        <w:t xml:space="preserve"> de mayo</w:t>
      </w:r>
      <w:r w:rsidR="009E1953" w:rsidRPr="000C7EBC">
        <w:rPr>
          <w:rFonts w:ascii="Tahoma" w:hAnsi="Tahoma" w:cs="Tahoma"/>
          <w:i/>
          <w:lang w:val="es-SV"/>
        </w:rPr>
        <w:t xml:space="preserve"> </w:t>
      </w:r>
      <w:r w:rsidR="006835C7" w:rsidRPr="000C7EBC">
        <w:rPr>
          <w:rFonts w:ascii="Tahoma" w:hAnsi="Tahoma" w:cs="Tahoma"/>
          <w:i/>
          <w:lang w:val="es-SV"/>
        </w:rPr>
        <w:t>de 2022</w:t>
      </w:r>
    </w:p>
    <w:p w:rsidR="00212A43" w:rsidRPr="000C7EBC" w:rsidRDefault="00212A43" w:rsidP="00965968">
      <w:pPr>
        <w:spacing w:line="360" w:lineRule="auto"/>
        <w:jc w:val="center"/>
        <w:rPr>
          <w:rFonts w:ascii="Tahoma" w:hAnsi="Tahoma" w:cs="Tahoma"/>
          <w:b/>
          <w:lang w:val="es-SV"/>
        </w:rPr>
      </w:pPr>
    </w:p>
    <w:p w:rsidR="001F77DB" w:rsidRPr="000C7EBC" w:rsidRDefault="00200CD3" w:rsidP="00965968">
      <w:pPr>
        <w:spacing w:line="360" w:lineRule="auto"/>
        <w:jc w:val="center"/>
        <w:rPr>
          <w:rFonts w:ascii="Tahoma" w:hAnsi="Tahoma" w:cs="Tahoma"/>
          <w:b/>
          <w:lang w:val="es-SV"/>
        </w:rPr>
      </w:pPr>
      <w:r w:rsidRPr="000C7EBC">
        <w:rPr>
          <w:rFonts w:ascii="Tahoma" w:hAnsi="Tahoma" w:cs="Tahoma"/>
          <w:b/>
          <w:lang w:val="es-SV"/>
        </w:rPr>
        <w:t>A</w:t>
      </w:r>
      <w:r w:rsidRPr="003C51AF">
        <w:rPr>
          <w:rFonts w:ascii="Tahoma" w:hAnsi="Tahoma" w:cs="Tahoma"/>
          <w:b/>
          <w:lang w:val="es-SV"/>
        </w:rPr>
        <w:t xml:space="preserve">CTA N° </w:t>
      </w:r>
      <w:r w:rsidR="003C51AF" w:rsidRPr="003C51AF">
        <w:rPr>
          <w:rFonts w:ascii="Tahoma" w:hAnsi="Tahoma" w:cs="Tahoma"/>
          <w:b/>
          <w:lang w:val="es-SV"/>
        </w:rPr>
        <w:t>163</w:t>
      </w:r>
      <w:r w:rsidR="00F96D43">
        <w:rPr>
          <w:rFonts w:ascii="Tahoma" w:hAnsi="Tahoma" w:cs="Tahoma"/>
          <w:b/>
          <w:lang w:val="es-SV"/>
        </w:rPr>
        <w:t>5</w:t>
      </w:r>
      <w:r w:rsidR="006835C7" w:rsidRPr="003C51AF">
        <w:rPr>
          <w:rFonts w:ascii="Tahoma" w:hAnsi="Tahoma" w:cs="Tahoma"/>
          <w:b/>
          <w:lang w:val="es-SV"/>
        </w:rPr>
        <w:t>/2022</w:t>
      </w: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F96D43">
        <w:rPr>
          <w:rFonts w:ascii="Tahoma" w:hAnsi="Tahoma" w:cs="Tahoma"/>
          <w:lang w:val="es-SV"/>
        </w:rPr>
        <w:t>catorce</w:t>
      </w:r>
      <w:r w:rsidR="00E240FA" w:rsidRPr="000C7EBC">
        <w:rPr>
          <w:rFonts w:ascii="Tahoma" w:hAnsi="Tahoma" w:cs="Tahoma"/>
          <w:lang w:val="es-SV"/>
        </w:rPr>
        <w:t xml:space="preserve"> </w:t>
      </w:r>
      <w:r w:rsidRPr="000C7EBC">
        <w:rPr>
          <w:rFonts w:ascii="Tahoma" w:hAnsi="Tahoma" w:cs="Tahoma"/>
          <w:lang w:val="es-SV"/>
        </w:rPr>
        <w:t>horas</w:t>
      </w:r>
      <w:r w:rsidR="009E1953" w:rsidRPr="000C7EBC">
        <w:rPr>
          <w:rFonts w:ascii="Tahoma" w:hAnsi="Tahoma" w:cs="Tahoma"/>
          <w:lang w:val="es-SV"/>
        </w:rPr>
        <w:t xml:space="preserve"> </w:t>
      </w:r>
      <w:r w:rsidR="00F96D43">
        <w:rPr>
          <w:rFonts w:ascii="Tahoma" w:hAnsi="Tahoma" w:cs="Tahoma"/>
          <w:lang w:val="es-SV"/>
        </w:rPr>
        <w:t xml:space="preserve">con treinta minutos </w:t>
      </w:r>
      <w:r w:rsidRPr="000C7EBC">
        <w:rPr>
          <w:rFonts w:ascii="Tahoma" w:hAnsi="Tahoma" w:cs="Tahoma"/>
          <w:lang w:val="es-SV"/>
        </w:rPr>
        <w:t>del día</w:t>
      </w:r>
      <w:r w:rsidR="00247686" w:rsidRPr="000C7EBC">
        <w:rPr>
          <w:rFonts w:ascii="Tahoma" w:hAnsi="Tahoma" w:cs="Tahoma"/>
          <w:lang w:val="es-SV"/>
        </w:rPr>
        <w:t xml:space="preserve"> </w:t>
      </w:r>
      <w:r w:rsidR="00F96D43">
        <w:rPr>
          <w:rFonts w:ascii="Tahoma" w:hAnsi="Tahoma" w:cs="Tahoma"/>
          <w:lang w:val="es-SV"/>
        </w:rPr>
        <w:t>treinta y uno</w:t>
      </w:r>
      <w:r w:rsidR="00AE002F" w:rsidRPr="000C7EBC">
        <w:rPr>
          <w:rFonts w:ascii="Tahoma" w:hAnsi="Tahoma" w:cs="Tahoma"/>
          <w:lang w:val="es-SV"/>
        </w:rPr>
        <w:t xml:space="preserve"> de </w:t>
      </w:r>
      <w:r w:rsidR="00EA502B">
        <w:rPr>
          <w:rFonts w:ascii="Tahoma" w:hAnsi="Tahoma" w:cs="Tahoma"/>
          <w:lang w:val="es-SV"/>
        </w:rPr>
        <w:t>mayo</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 xml:space="preserve">LICENCIADO RONY HUEZO SERRANO, </w:t>
      </w:r>
      <w:r w:rsidR="00403B0B" w:rsidRPr="000C7EBC">
        <w:rPr>
          <w:rFonts w:ascii="Tahoma" w:hAnsi="Tahoma" w:cs="Tahoma"/>
          <w:lang w:val="es-SV"/>
        </w:rPr>
        <w:t xml:space="preserve">Director </w:t>
      </w:r>
      <w:r w:rsidR="00EA502B">
        <w:rPr>
          <w:rFonts w:ascii="Tahoma" w:hAnsi="Tahoma" w:cs="Tahoma"/>
          <w:lang w:val="es-SV"/>
        </w:rPr>
        <w:t>P</w:t>
      </w:r>
      <w:r w:rsidR="00403B0B" w:rsidRPr="000C7EBC">
        <w:rPr>
          <w:rFonts w:ascii="Tahoma" w:hAnsi="Tahoma" w:cs="Tahoma"/>
          <w:lang w:val="es-SV"/>
        </w:rPr>
        <w:t>residente</w:t>
      </w:r>
      <w:r w:rsidR="003C51AF">
        <w:rPr>
          <w:rFonts w:ascii="Tahoma" w:hAnsi="Tahoma" w:cs="Tahoma"/>
          <w:lang w:val="es-SV"/>
        </w:rPr>
        <w:t xml:space="preserve"> Temporal</w:t>
      </w:r>
      <w:r w:rsidR="00403B0B" w:rsidRPr="000C7EBC">
        <w:rPr>
          <w:rFonts w:ascii="Tahoma" w:hAnsi="Tahoma" w:cs="Tahoma"/>
          <w:lang w:val="es-SV"/>
        </w:rPr>
        <w:t xml:space="preserv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403B0B" w:rsidRPr="000C7EBC">
        <w:rPr>
          <w:rFonts w:ascii="Tahoma" w:hAnsi="Tahoma" w:cs="Tahoma"/>
          <w:b/>
          <w:lang w:val="es-SV"/>
        </w:rPr>
        <w:t>DOCTORA TERESA DEL CARMEN FLORES DE GUEVARA,</w:t>
      </w:r>
      <w:r w:rsidR="00A67819" w:rsidRPr="000C7EBC">
        <w:rPr>
          <w:rFonts w:ascii="Tahoma" w:hAnsi="Tahoma" w:cs="Tahoma"/>
          <w:b/>
          <w:lang w:val="es-SV"/>
        </w:rPr>
        <w:t xml:space="preserve"> </w:t>
      </w:r>
      <w:r w:rsidR="00A67819" w:rsidRPr="000C7EBC">
        <w:rPr>
          <w:rFonts w:ascii="Tahoma" w:hAnsi="Tahoma" w:cs="Tahoma"/>
          <w:lang w:val="es-SV"/>
        </w:rPr>
        <w:t>en calidad de</w:t>
      </w:r>
      <w:r w:rsidR="00403B0B" w:rsidRPr="000C7EBC">
        <w:rPr>
          <w:rFonts w:ascii="Tahoma" w:hAnsi="Tahoma" w:cs="Tahoma"/>
          <w:b/>
          <w:lang w:val="es-SV"/>
        </w:rPr>
        <w:t xml:space="preserve"> </w:t>
      </w:r>
      <w:r w:rsidR="00A67819" w:rsidRPr="000C7EBC">
        <w:rPr>
          <w:rFonts w:ascii="Tahoma" w:hAnsi="Tahoma" w:cs="Tahoma"/>
          <w:lang w:val="es-SV"/>
        </w:rPr>
        <w:t>Director Propietario para esta sesión</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y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96467F" w:rsidRPr="000C7EBC">
        <w:rPr>
          <w:rFonts w:ascii="Tahoma" w:hAnsi="Tahoma" w:cs="Tahoma"/>
          <w:lang w:val="es-SV"/>
        </w:rPr>
        <w:t xml:space="preserve"> 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APROBACIÓN DE LA AGENDA.</w:t>
      </w:r>
    </w:p>
    <w:p w:rsid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LECTURA DEL ACTA ANTERIOR</w:t>
      </w:r>
      <w:r w:rsidR="00F022A6" w:rsidRPr="000C7EBC">
        <w:rPr>
          <w:rFonts w:ascii="Tahoma" w:hAnsi="Tahoma" w:cs="Tahoma"/>
          <w:b/>
          <w:sz w:val="20"/>
          <w:szCs w:val="20"/>
          <w:lang w:val="es-SV" w:eastAsia="es-ES"/>
        </w:rPr>
        <w:t>.</w:t>
      </w:r>
    </w:p>
    <w:p w:rsidR="00F96D43" w:rsidRPr="00F96D43" w:rsidRDefault="00F96D43" w:rsidP="00F96D43">
      <w:pPr>
        <w:pStyle w:val="Sinespaciado"/>
        <w:numPr>
          <w:ilvl w:val="0"/>
          <w:numId w:val="12"/>
        </w:numPr>
        <w:spacing w:line="360" w:lineRule="auto"/>
        <w:ind w:left="714" w:hanging="357"/>
        <w:jc w:val="both"/>
        <w:rPr>
          <w:rFonts w:ascii="Tahoma" w:hAnsi="Tahoma" w:cs="Tahoma"/>
          <w:b/>
          <w:sz w:val="20"/>
          <w:szCs w:val="20"/>
          <w:lang w:val="es-SV" w:eastAsia="es-ES"/>
        </w:rPr>
      </w:pPr>
      <w:r w:rsidRPr="00F96D43">
        <w:rPr>
          <w:rFonts w:ascii="Tahoma" w:hAnsi="Tahoma" w:cs="Tahoma"/>
          <w:b/>
          <w:sz w:val="20"/>
          <w:szCs w:val="20"/>
          <w:lang w:val="es-SV" w:eastAsia="es-ES"/>
        </w:rPr>
        <w:t>INFORME DE AUDITORIA DE LA CORTE DE CUENTAS DE LA REPUBLICA CORRESPONDIENTE AL PERIODO 2018.</w:t>
      </w:r>
    </w:p>
    <w:p w:rsidR="00F96D43" w:rsidRPr="00F96D43" w:rsidRDefault="00F96D43" w:rsidP="00F96D43">
      <w:pPr>
        <w:pStyle w:val="Sinespaciado"/>
        <w:numPr>
          <w:ilvl w:val="0"/>
          <w:numId w:val="12"/>
        </w:numPr>
        <w:spacing w:line="360" w:lineRule="auto"/>
        <w:ind w:left="714" w:hanging="357"/>
        <w:jc w:val="both"/>
        <w:rPr>
          <w:rFonts w:ascii="Tahoma" w:hAnsi="Tahoma" w:cs="Tahoma"/>
          <w:b/>
          <w:sz w:val="20"/>
          <w:szCs w:val="20"/>
          <w:lang w:val="es-SV" w:eastAsia="es-ES"/>
        </w:rPr>
      </w:pPr>
      <w:r w:rsidRPr="00F96D43">
        <w:rPr>
          <w:rFonts w:ascii="Tahoma" w:hAnsi="Tahoma" w:cs="Tahoma"/>
          <w:b/>
          <w:sz w:val="20"/>
          <w:szCs w:val="20"/>
          <w:lang w:val="es-SV" w:eastAsia="es-ES"/>
        </w:rPr>
        <w:t>INFORME FINAL DE AUDITORÍA FISCAL DEL PERIODO DEL 01 DE ENERO AL 31 DE DICIEMBRE 2021.</w:t>
      </w:r>
    </w:p>
    <w:p w:rsidR="00F96D43" w:rsidRPr="00F96D43" w:rsidRDefault="00F96D43" w:rsidP="00F96D43">
      <w:pPr>
        <w:pStyle w:val="Sinespaciado"/>
        <w:numPr>
          <w:ilvl w:val="0"/>
          <w:numId w:val="12"/>
        </w:numPr>
        <w:spacing w:line="360" w:lineRule="auto"/>
        <w:ind w:left="714" w:hanging="357"/>
        <w:jc w:val="both"/>
        <w:rPr>
          <w:rFonts w:ascii="Tahoma" w:hAnsi="Tahoma" w:cs="Tahoma"/>
          <w:b/>
          <w:sz w:val="20"/>
          <w:szCs w:val="20"/>
          <w:lang w:val="es-SV" w:eastAsia="es-ES"/>
        </w:rPr>
      </w:pPr>
    </w:p>
    <w:p w:rsidR="00C777AE" w:rsidRDefault="00C777AE" w:rsidP="00F96D43">
      <w:pPr>
        <w:pStyle w:val="Sinespaciado"/>
        <w:numPr>
          <w:ilvl w:val="0"/>
          <w:numId w:val="12"/>
        </w:numPr>
        <w:spacing w:line="360" w:lineRule="auto"/>
        <w:ind w:left="714" w:hanging="357"/>
        <w:jc w:val="both"/>
        <w:rPr>
          <w:rFonts w:ascii="Tahoma" w:hAnsi="Tahoma" w:cs="Tahoma"/>
          <w:b/>
          <w:sz w:val="20"/>
          <w:szCs w:val="20"/>
          <w:lang w:val="es-SV" w:eastAsia="es-ES"/>
        </w:rPr>
      </w:pPr>
      <w:bookmarkStart w:id="0" w:name="_GoBack"/>
      <w:bookmarkEnd w:id="0"/>
    </w:p>
    <w:p w:rsidR="00F96D43" w:rsidRPr="00F96D43" w:rsidRDefault="00F96D43" w:rsidP="00F96D43">
      <w:pPr>
        <w:pStyle w:val="Sinespaciado"/>
        <w:spacing w:line="360" w:lineRule="auto"/>
        <w:ind w:left="714"/>
        <w:jc w:val="both"/>
        <w:rPr>
          <w:rFonts w:ascii="Tahoma" w:hAnsi="Tahoma" w:cs="Tahoma"/>
          <w:b/>
          <w:sz w:val="20"/>
          <w:szCs w:val="20"/>
          <w:lang w:val="es-SV" w:eastAsia="es-ES"/>
        </w:rPr>
      </w:pPr>
    </w:p>
    <w:p w:rsidR="009A1D11" w:rsidRPr="000C7EBC"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135100" w:rsidRDefault="009E1953" w:rsidP="00DB1570">
      <w:pPr>
        <w:spacing w:line="360" w:lineRule="auto"/>
        <w:jc w:val="both"/>
        <w:rPr>
          <w:rFonts w:ascii="Tahoma" w:hAnsi="Tahoma" w:cs="Tahoma"/>
          <w:b/>
          <w:lang w:val="es-SV"/>
        </w:rPr>
      </w:pPr>
      <w:r w:rsidRPr="000C7EBC">
        <w:rPr>
          <w:rFonts w:ascii="Tahoma" w:hAnsi="Tahoma" w:cs="Tahoma"/>
          <w:b/>
          <w:lang w:val="es-SV"/>
        </w:rPr>
        <w:tab/>
      </w:r>
    </w:p>
    <w:p w:rsidR="00F17A4F" w:rsidRDefault="00F17A4F" w:rsidP="00DB1570">
      <w:pPr>
        <w:spacing w:line="360" w:lineRule="auto"/>
        <w:jc w:val="both"/>
        <w:rPr>
          <w:rFonts w:ascii="Tahoma" w:hAnsi="Tahoma" w:cs="Tahoma"/>
          <w:b/>
          <w:lang w:val="es-SV"/>
        </w:rPr>
      </w:pPr>
    </w:p>
    <w:p w:rsidR="00F17A4F" w:rsidRDefault="00F17A4F" w:rsidP="00DB1570">
      <w:pPr>
        <w:spacing w:line="360" w:lineRule="auto"/>
        <w:jc w:val="both"/>
        <w:rPr>
          <w:rFonts w:ascii="Tahoma" w:hAnsi="Tahoma" w:cs="Tahoma"/>
          <w:b/>
          <w:lang w:val="es-SV"/>
        </w:rPr>
      </w:pPr>
    </w:p>
    <w:p w:rsidR="00F17A4F" w:rsidRPr="000C7EBC" w:rsidRDefault="00F17A4F" w:rsidP="00DB1570">
      <w:pPr>
        <w:spacing w:line="360" w:lineRule="auto"/>
        <w:jc w:val="both"/>
        <w:rPr>
          <w:rFonts w:ascii="Tahoma" w:hAnsi="Tahoma" w:cs="Tahoma"/>
          <w:b/>
          <w:lang w:val="es-SV"/>
        </w:rPr>
      </w:pPr>
    </w:p>
    <w:p w:rsidR="00D621FE" w:rsidRPr="000C7EBC"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0C7EBC">
        <w:rPr>
          <w:rFonts w:ascii="Tahoma" w:hAnsi="Tahoma" w:cs="Tahoma"/>
          <w:b/>
          <w:sz w:val="20"/>
          <w:szCs w:val="20"/>
          <w:u w:val="double"/>
          <w:lang w:val="es-SV"/>
        </w:rPr>
        <w:lastRenderedPageBreak/>
        <w:t>APROBACI</w:t>
      </w:r>
      <w:r w:rsidR="003F2D90" w:rsidRPr="000C7EBC">
        <w:rPr>
          <w:rFonts w:ascii="Tahoma" w:hAnsi="Tahoma" w:cs="Tahoma"/>
          <w:b/>
          <w:sz w:val="20"/>
          <w:szCs w:val="20"/>
          <w:u w:val="double"/>
          <w:lang w:val="es-SV"/>
        </w:rPr>
        <w:t>O</w:t>
      </w:r>
      <w:r w:rsidR="00223021" w:rsidRPr="000C7EBC">
        <w:rPr>
          <w:rFonts w:ascii="Tahoma" w:hAnsi="Tahoma" w:cs="Tahoma"/>
          <w:b/>
          <w:sz w:val="20"/>
          <w:szCs w:val="20"/>
          <w:u w:val="double"/>
          <w:lang w:val="es-SV"/>
        </w:rPr>
        <w:t>N DE LA AGENDA</w:t>
      </w:r>
      <w:r w:rsidR="004C7069" w:rsidRPr="000C7EBC">
        <w:rPr>
          <w:rFonts w:ascii="Tahoma" w:hAnsi="Tahoma" w:cs="Tahoma"/>
          <w:b/>
          <w:sz w:val="20"/>
          <w:szCs w:val="20"/>
          <w:u w:val="double"/>
          <w:lang w:val="es-SV"/>
        </w:rPr>
        <w:t>.</w:t>
      </w:r>
      <w:r w:rsidRPr="000C7EBC">
        <w:rPr>
          <w:rFonts w:ascii="Tahoma" w:hAnsi="Tahoma" w:cs="Tahoma"/>
          <w:b/>
          <w:sz w:val="20"/>
          <w:szCs w:val="20"/>
          <w:u w:val="double"/>
          <w:lang w:val="es-SV"/>
        </w:rPr>
        <w:t xml:space="preserve"> </w:t>
      </w:r>
    </w:p>
    <w:p w:rsidR="00717EB7" w:rsidRPr="000C7EBC"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3C51AF">
        <w:rPr>
          <w:rFonts w:ascii="Tahoma" w:hAnsi="Tahoma" w:cs="Tahoma"/>
          <w:sz w:val="20"/>
          <w:szCs w:val="20"/>
          <w:lang w:val="es-SV"/>
        </w:rPr>
        <w:t xml:space="preserve">Acta </w:t>
      </w:r>
      <w:r w:rsidR="003C51AF" w:rsidRPr="003C51AF">
        <w:rPr>
          <w:rFonts w:ascii="Tahoma" w:hAnsi="Tahoma" w:cs="Tahoma"/>
          <w:sz w:val="20"/>
          <w:szCs w:val="20"/>
          <w:lang w:val="es-SV"/>
        </w:rPr>
        <w:t>163</w:t>
      </w:r>
      <w:r w:rsidR="00F96D43">
        <w:rPr>
          <w:rFonts w:ascii="Tahoma" w:hAnsi="Tahoma" w:cs="Tahoma"/>
          <w:sz w:val="20"/>
          <w:szCs w:val="20"/>
          <w:lang w:val="es-SV"/>
        </w:rPr>
        <w:t>4</w:t>
      </w:r>
      <w:r w:rsidRPr="003C51AF">
        <w:rPr>
          <w:rFonts w:ascii="Tahoma" w:hAnsi="Tahoma" w:cs="Tahoma"/>
          <w:sz w:val="20"/>
          <w:szCs w:val="20"/>
          <w:lang w:val="es-SV"/>
        </w:rPr>
        <w:t xml:space="preserve"> de</w:t>
      </w:r>
      <w:r w:rsidRPr="000C7EBC">
        <w:rPr>
          <w:rFonts w:ascii="Tahoma" w:hAnsi="Tahoma" w:cs="Tahoma"/>
          <w:sz w:val="20"/>
          <w:szCs w:val="20"/>
          <w:lang w:val="es-SV"/>
        </w:rPr>
        <w:t xml:space="preserve"> fecha</w:t>
      </w:r>
      <w:r w:rsidR="00C777AE">
        <w:rPr>
          <w:rFonts w:ascii="Tahoma" w:hAnsi="Tahoma" w:cs="Tahoma"/>
          <w:sz w:val="20"/>
          <w:szCs w:val="20"/>
          <w:lang w:val="es-SV"/>
        </w:rPr>
        <w:t xml:space="preserve"> 2</w:t>
      </w:r>
      <w:r w:rsidR="00F96D43">
        <w:rPr>
          <w:rFonts w:ascii="Tahoma" w:hAnsi="Tahoma" w:cs="Tahoma"/>
          <w:sz w:val="20"/>
          <w:szCs w:val="20"/>
          <w:lang w:val="es-SV"/>
        </w:rPr>
        <w:t>7</w:t>
      </w:r>
      <w:r w:rsidR="003C51AF">
        <w:rPr>
          <w:rFonts w:ascii="Tahoma" w:hAnsi="Tahoma" w:cs="Tahoma"/>
          <w:sz w:val="20"/>
          <w:szCs w:val="20"/>
          <w:lang w:val="es-SV"/>
        </w:rPr>
        <w:t xml:space="preserve"> de mayo</w:t>
      </w:r>
      <w:r w:rsidR="00D32A9D" w:rsidRPr="000C7EBC">
        <w:rPr>
          <w:rFonts w:ascii="Tahoma" w:hAnsi="Tahoma" w:cs="Tahoma"/>
          <w:sz w:val="20"/>
          <w:szCs w:val="20"/>
          <w:lang w:val="es-SV"/>
        </w:rPr>
        <w:t xml:space="preserve"> de 2022</w:t>
      </w:r>
      <w:r w:rsidR="00F96D43">
        <w:rPr>
          <w:rFonts w:ascii="Tahoma" w:hAnsi="Tahoma" w:cs="Tahoma"/>
          <w:sz w:val="20"/>
          <w:szCs w:val="20"/>
          <w:lang w:val="es-SV"/>
        </w:rPr>
        <w:t>, la cual se firma en este acto.</w:t>
      </w:r>
    </w:p>
    <w:p w:rsidR="00F96D43" w:rsidRDefault="00F96D43" w:rsidP="00F96D43">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F96D43">
        <w:rPr>
          <w:rFonts w:ascii="Tahoma" w:hAnsi="Tahoma" w:cs="Tahoma"/>
          <w:b/>
          <w:sz w:val="20"/>
          <w:szCs w:val="20"/>
          <w:u w:val="double"/>
          <w:lang w:val="es-SV"/>
        </w:rPr>
        <w:t>INFORME DE AUDITORIA DE LA CORTE DE CUENTAS DE LA REPUBLICA CORRESPONDIENTE AL PERIODO 2018.</w:t>
      </w:r>
    </w:p>
    <w:p w:rsidR="008B4383" w:rsidRDefault="008B4383" w:rsidP="008B4383">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sz w:val="20"/>
          <w:szCs w:val="20"/>
          <w:lang w:val="es-SV" w:eastAsia="es-ES"/>
        </w:rPr>
        <w:t xml:space="preserve">La Jefe de Unidad de Auditoria Interna, Licenciada Ana Orietta Burgos, presenta a los miembros del Consejo Directivo el </w:t>
      </w:r>
      <w:r w:rsidRPr="008B4383">
        <w:rPr>
          <w:rFonts w:ascii="Tahoma" w:hAnsi="Tahoma" w:cs="Tahoma"/>
          <w:sz w:val="20"/>
          <w:szCs w:val="20"/>
          <w:lang w:val="es-SV" w:eastAsia="es-ES"/>
        </w:rPr>
        <w:t xml:space="preserve">INFORME DE AUDITORIA DE LA CORTE DE CUENTAS DE LA REPUBLICA </w:t>
      </w:r>
      <w:r>
        <w:rPr>
          <w:rFonts w:ascii="Tahoma" w:hAnsi="Tahoma" w:cs="Tahoma"/>
          <w:sz w:val="20"/>
          <w:szCs w:val="20"/>
          <w:lang w:val="es-SV" w:eastAsia="es-ES"/>
        </w:rPr>
        <w:t xml:space="preserve">CORRESPONDIENTE AL PERIODO 2018, y expone como antecedente que mediante nota con </w:t>
      </w:r>
      <w:r w:rsidRPr="008B4383">
        <w:rPr>
          <w:rFonts w:ascii="Tahoma" w:hAnsi="Tahoma" w:cs="Tahoma"/>
          <w:sz w:val="20"/>
          <w:szCs w:val="20"/>
          <w:lang w:val="es-SV"/>
        </w:rPr>
        <w:t>número de referencia DA4-020/2022, de fecha 12 de enero de 2022, suscrita por la Licda. Estela Guadalupe Villalta, Directora de Auditoría Cuatro de la Corte de Cuentas de la República, comunican a  la Licda. Violeta Saca Vides, Presidenta de CORSAIN, que se realizará auditoría financiera a la Corporación Salvadoreña de Inversiones, por el período del 1 de enero al 31 de diciembre de 2018.</w:t>
      </w:r>
    </w:p>
    <w:p w:rsidR="008B4383" w:rsidRPr="00BC2FDB" w:rsidRDefault="008B4383" w:rsidP="00BC2FDB">
      <w:pPr>
        <w:pStyle w:val="Sinespaciado"/>
        <w:tabs>
          <w:tab w:val="left" w:pos="142"/>
        </w:tabs>
        <w:spacing w:after="200" w:line="360" w:lineRule="auto"/>
        <w:ind w:left="-142"/>
        <w:jc w:val="both"/>
        <w:rPr>
          <w:rFonts w:ascii="Tahoma" w:hAnsi="Tahoma" w:cs="Tahoma"/>
          <w:sz w:val="20"/>
          <w:szCs w:val="20"/>
          <w:lang w:val="es-SV"/>
        </w:rPr>
      </w:pPr>
      <w:r w:rsidRPr="00BC2FDB">
        <w:rPr>
          <w:rFonts w:ascii="Tahoma" w:hAnsi="Tahoma" w:cs="Tahoma"/>
          <w:sz w:val="20"/>
          <w:szCs w:val="20"/>
          <w:lang w:val="es-SV"/>
        </w:rPr>
        <w:t>En fecha 25 de mayo de 2022, se recibe el informe de auditoría, emitido por la Corte de Cuentas, como resultado de la fiscalización al período del 1 de enero al 31 de diciembre de 2018, el cual tiene el siguiente contenido:</w:t>
      </w:r>
    </w:p>
    <w:p w:rsidR="008B4383" w:rsidRPr="00BC2FDB" w:rsidRDefault="002D26E7" w:rsidP="00A52BCD">
      <w:pPr>
        <w:pStyle w:val="Sinespaciado"/>
        <w:numPr>
          <w:ilvl w:val="0"/>
          <w:numId w:val="13"/>
        </w:numPr>
        <w:tabs>
          <w:tab w:val="left" w:pos="142"/>
        </w:tabs>
        <w:spacing w:after="200" w:line="360" w:lineRule="auto"/>
        <w:jc w:val="both"/>
        <w:rPr>
          <w:rFonts w:ascii="Tahoma" w:hAnsi="Tahoma" w:cs="Tahoma"/>
          <w:sz w:val="20"/>
          <w:szCs w:val="20"/>
          <w:lang w:val="es-SV"/>
        </w:rPr>
      </w:pPr>
      <w:r w:rsidRPr="00BC2FDB">
        <w:rPr>
          <w:rFonts w:ascii="Tahoma" w:hAnsi="Tahoma" w:cs="Tahoma"/>
          <w:sz w:val="20"/>
          <w:szCs w:val="20"/>
          <w:lang w:val="es-SV"/>
        </w:rPr>
        <w:t>Aspectos Generales</w:t>
      </w:r>
    </w:p>
    <w:p w:rsidR="002D26E7" w:rsidRPr="00BC2FDB" w:rsidRDefault="002D26E7" w:rsidP="00A52BCD">
      <w:pPr>
        <w:pStyle w:val="Sinespaciado"/>
        <w:numPr>
          <w:ilvl w:val="0"/>
          <w:numId w:val="13"/>
        </w:numPr>
        <w:tabs>
          <w:tab w:val="left" w:pos="142"/>
        </w:tabs>
        <w:spacing w:after="200" w:line="360" w:lineRule="auto"/>
        <w:jc w:val="both"/>
        <w:rPr>
          <w:rFonts w:ascii="Tahoma" w:hAnsi="Tahoma" w:cs="Tahoma"/>
          <w:sz w:val="20"/>
          <w:szCs w:val="20"/>
          <w:lang w:val="es-SV"/>
        </w:rPr>
      </w:pPr>
      <w:r w:rsidRPr="00BC2FDB">
        <w:rPr>
          <w:rFonts w:ascii="Tahoma" w:hAnsi="Tahoma" w:cs="Tahoma"/>
          <w:sz w:val="20"/>
          <w:szCs w:val="20"/>
          <w:lang w:val="es-SV"/>
        </w:rPr>
        <w:t>Aspectos Financieros.</w:t>
      </w:r>
    </w:p>
    <w:p w:rsidR="002D26E7" w:rsidRPr="00BC2FDB" w:rsidRDefault="002D26E7" w:rsidP="00A52BCD">
      <w:pPr>
        <w:pStyle w:val="Sinespaciado"/>
        <w:numPr>
          <w:ilvl w:val="0"/>
          <w:numId w:val="13"/>
        </w:numPr>
        <w:tabs>
          <w:tab w:val="left" w:pos="142"/>
        </w:tabs>
        <w:spacing w:after="200" w:line="360" w:lineRule="auto"/>
        <w:jc w:val="both"/>
        <w:rPr>
          <w:rFonts w:ascii="Tahoma" w:hAnsi="Tahoma" w:cs="Tahoma"/>
          <w:sz w:val="20"/>
          <w:szCs w:val="20"/>
          <w:lang w:val="es-SV"/>
        </w:rPr>
      </w:pPr>
      <w:r w:rsidRPr="00BC2FDB">
        <w:rPr>
          <w:rFonts w:ascii="Tahoma" w:hAnsi="Tahoma" w:cs="Tahoma"/>
          <w:sz w:val="20"/>
          <w:szCs w:val="20"/>
          <w:lang w:val="es-SV"/>
        </w:rPr>
        <w:t>Aspectos sobre Control Interno.</w:t>
      </w:r>
    </w:p>
    <w:p w:rsidR="002D26E7" w:rsidRPr="00BC2FDB" w:rsidRDefault="002D26E7" w:rsidP="00A52BCD">
      <w:pPr>
        <w:pStyle w:val="Sinespaciado"/>
        <w:numPr>
          <w:ilvl w:val="0"/>
          <w:numId w:val="13"/>
        </w:numPr>
        <w:tabs>
          <w:tab w:val="left" w:pos="142"/>
        </w:tabs>
        <w:spacing w:after="200" w:line="360" w:lineRule="auto"/>
        <w:jc w:val="both"/>
        <w:rPr>
          <w:rFonts w:ascii="Tahoma" w:hAnsi="Tahoma" w:cs="Tahoma"/>
          <w:sz w:val="20"/>
          <w:szCs w:val="20"/>
          <w:lang w:val="es-SV"/>
        </w:rPr>
      </w:pPr>
      <w:r w:rsidRPr="00BC2FDB">
        <w:rPr>
          <w:rFonts w:ascii="Tahoma" w:hAnsi="Tahoma" w:cs="Tahoma"/>
          <w:sz w:val="20"/>
          <w:szCs w:val="20"/>
          <w:lang w:val="es-SV"/>
        </w:rPr>
        <w:t>Aspectos sobre el cumplimiento de leyes, reglamentos y otras normas aplicables.</w:t>
      </w:r>
    </w:p>
    <w:p w:rsidR="002D26E7" w:rsidRPr="00BC2FDB" w:rsidRDefault="002D26E7" w:rsidP="00A52BCD">
      <w:pPr>
        <w:pStyle w:val="Sinespaciado"/>
        <w:numPr>
          <w:ilvl w:val="0"/>
          <w:numId w:val="13"/>
        </w:numPr>
        <w:tabs>
          <w:tab w:val="left" w:pos="142"/>
        </w:tabs>
        <w:spacing w:after="200" w:line="360" w:lineRule="auto"/>
        <w:jc w:val="both"/>
        <w:rPr>
          <w:rFonts w:ascii="Tahoma" w:hAnsi="Tahoma" w:cs="Tahoma"/>
          <w:sz w:val="20"/>
          <w:szCs w:val="20"/>
          <w:lang w:val="es-SV"/>
        </w:rPr>
      </w:pPr>
      <w:r w:rsidRPr="00BC2FDB">
        <w:rPr>
          <w:rFonts w:ascii="Tahoma" w:hAnsi="Tahoma" w:cs="Tahoma"/>
          <w:sz w:val="20"/>
          <w:szCs w:val="20"/>
          <w:lang w:val="es-SV"/>
        </w:rPr>
        <w:t>Análisis de informes de Auditoria Interna y firmas privadas de auditoria</w:t>
      </w:r>
    </w:p>
    <w:p w:rsidR="002D26E7" w:rsidRPr="00BC2FDB" w:rsidRDefault="002D26E7" w:rsidP="00A52BCD">
      <w:pPr>
        <w:pStyle w:val="Sinespaciado"/>
        <w:numPr>
          <w:ilvl w:val="0"/>
          <w:numId w:val="13"/>
        </w:numPr>
        <w:tabs>
          <w:tab w:val="left" w:pos="142"/>
        </w:tabs>
        <w:spacing w:after="200" w:line="360" w:lineRule="auto"/>
        <w:jc w:val="both"/>
        <w:rPr>
          <w:rFonts w:ascii="Tahoma" w:hAnsi="Tahoma" w:cs="Tahoma"/>
          <w:sz w:val="20"/>
          <w:szCs w:val="20"/>
          <w:lang w:val="es-SV"/>
        </w:rPr>
      </w:pPr>
      <w:r w:rsidRPr="00BC2FDB">
        <w:rPr>
          <w:rFonts w:ascii="Tahoma" w:hAnsi="Tahoma" w:cs="Tahoma"/>
          <w:sz w:val="20"/>
          <w:szCs w:val="20"/>
          <w:lang w:val="es-SV"/>
        </w:rPr>
        <w:t xml:space="preserve">Seguimiento a recomendaciones de </w:t>
      </w:r>
      <w:r w:rsidR="00BC2FDB" w:rsidRPr="00BC2FDB">
        <w:rPr>
          <w:rFonts w:ascii="Tahoma" w:hAnsi="Tahoma" w:cs="Tahoma"/>
          <w:sz w:val="20"/>
          <w:szCs w:val="20"/>
          <w:lang w:val="es-SV"/>
        </w:rPr>
        <w:t>auditorías</w:t>
      </w:r>
      <w:r w:rsidRPr="00BC2FDB">
        <w:rPr>
          <w:rFonts w:ascii="Tahoma" w:hAnsi="Tahoma" w:cs="Tahoma"/>
          <w:sz w:val="20"/>
          <w:szCs w:val="20"/>
          <w:lang w:val="es-SV"/>
        </w:rPr>
        <w:t xml:space="preserve"> anteriores.</w:t>
      </w:r>
    </w:p>
    <w:p w:rsidR="00F9257B" w:rsidRDefault="00F9257B" w:rsidP="00F9257B">
      <w:pPr>
        <w:pStyle w:val="Sinespaciado"/>
        <w:tabs>
          <w:tab w:val="left" w:pos="284"/>
        </w:tabs>
        <w:spacing w:line="360" w:lineRule="auto"/>
        <w:rPr>
          <w:rFonts w:ascii="Tahoma" w:hAnsi="Tahoma" w:cs="Tahoma"/>
          <w:sz w:val="20"/>
          <w:szCs w:val="20"/>
          <w:lang w:val="es-SV" w:eastAsia="es-ES"/>
        </w:rPr>
      </w:pPr>
    </w:p>
    <w:p w:rsidR="00F9257B" w:rsidRDefault="00F9257B" w:rsidP="00F9257B">
      <w:pPr>
        <w:pStyle w:val="Sinespaciado"/>
        <w:tabs>
          <w:tab w:val="left" w:pos="284"/>
        </w:tabs>
        <w:spacing w:after="200" w:line="360" w:lineRule="auto"/>
        <w:jc w:val="both"/>
        <w:rPr>
          <w:rFonts w:ascii="Tahoma" w:hAnsi="Tahoma" w:cs="Tahoma"/>
          <w:b/>
          <w:bCs/>
        </w:rPr>
      </w:pPr>
      <w:r w:rsidRPr="00F9257B">
        <w:rPr>
          <w:rFonts w:ascii="Tahoma" w:hAnsi="Tahoma" w:cs="Tahoma"/>
          <w:b/>
          <w:bCs/>
        </w:rPr>
        <w:t>OPINION INFORME DE AUDITORÍA DE LA CORTE DE CUENTAS</w:t>
      </w:r>
      <w:r>
        <w:rPr>
          <w:rFonts w:ascii="Tahoma" w:hAnsi="Tahoma" w:cs="Tahoma"/>
          <w:b/>
          <w:bCs/>
        </w:rPr>
        <w:t xml:space="preserve"> PARA EL PERIODO 2018.</w:t>
      </w:r>
    </w:p>
    <w:p w:rsidR="00F9257B" w:rsidRDefault="00F9257B" w:rsidP="00F9257B">
      <w:pPr>
        <w:pStyle w:val="Sinespaciado"/>
        <w:tabs>
          <w:tab w:val="left" w:pos="284"/>
        </w:tabs>
        <w:spacing w:after="200" w:line="360" w:lineRule="auto"/>
        <w:jc w:val="both"/>
        <w:rPr>
          <w:rFonts w:ascii="Tahoma" w:hAnsi="Tahoma" w:cs="Tahoma"/>
          <w:bCs/>
          <w:i/>
          <w:sz w:val="20"/>
        </w:rPr>
      </w:pPr>
      <w:r w:rsidRPr="00F9257B">
        <w:rPr>
          <w:rFonts w:ascii="Tahoma" w:hAnsi="Tahoma" w:cs="Tahoma"/>
          <w:bCs/>
          <w:i/>
          <w:sz w:val="20"/>
        </w:rPr>
        <w:t>“En nuestra opinión, los Estados Financieros antes mencionados, presentan razonablemente en todos los aspectos importantes la situación financiera, los resultados de sus operaciones, el flujo de fondos y la ejecución presupuestaria de la Corporación Salvadoreña de Inversiones (CORSAIN), por el período del 1 de enero al 31 de diciembre del 2018, de conformidad con Principios y Normas de Contabilidad Gubernamental, establecidos por la Dirección General de Contabilidad Gubernamental del Ministerio de Hacienda, los cuales se han aplicado uniformemente durante el período auditado, en relación con el período precedente.”</w:t>
      </w:r>
    </w:p>
    <w:p w:rsidR="00F9257B" w:rsidRDefault="00F9257B" w:rsidP="00F9257B">
      <w:pPr>
        <w:pStyle w:val="Sinespaciado"/>
        <w:tabs>
          <w:tab w:val="left" w:pos="284"/>
        </w:tabs>
        <w:spacing w:after="200" w:line="360" w:lineRule="auto"/>
        <w:jc w:val="both"/>
        <w:rPr>
          <w:rFonts w:ascii="Tahoma" w:hAnsi="Tahoma" w:cs="Tahoma"/>
          <w:bCs/>
          <w:sz w:val="20"/>
        </w:rPr>
      </w:pPr>
      <w:r>
        <w:rPr>
          <w:rFonts w:ascii="Tahoma" w:hAnsi="Tahoma" w:cs="Tahoma"/>
          <w:bCs/>
          <w:sz w:val="20"/>
        </w:rPr>
        <w:t>Firmado por la Subdirección de Auditoria Cuatro.</w:t>
      </w:r>
    </w:p>
    <w:p w:rsidR="00F9257B" w:rsidRPr="00F9257B" w:rsidRDefault="00F9257B" w:rsidP="00F9257B">
      <w:pPr>
        <w:pStyle w:val="Sinespaciado"/>
        <w:tabs>
          <w:tab w:val="left" w:pos="284"/>
        </w:tabs>
        <w:spacing w:after="200" w:line="360" w:lineRule="auto"/>
        <w:jc w:val="both"/>
        <w:rPr>
          <w:rFonts w:ascii="Tahoma" w:hAnsi="Tahoma" w:cs="Tahoma"/>
          <w:bCs/>
          <w:sz w:val="20"/>
        </w:rPr>
      </w:pPr>
      <w:r>
        <w:rPr>
          <w:rFonts w:ascii="Tahoma" w:hAnsi="Tahoma" w:cs="Tahoma"/>
          <w:bCs/>
          <w:sz w:val="20"/>
        </w:rPr>
        <w:t>Se informa a los miembros del Consejo Directivo que este tema fue expuesto en el Comité de auditoría en sesión de fecha 27 de mayo 2022.</w:t>
      </w:r>
    </w:p>
    <w:p w:rsidR="008B4383" w:rsidRPr="008B4383" w:rsidRDefault="008B4383" w:rsidP="008B4383">
      <w:pPr>
        <w:pStyle w:val="Sinespaciado"/>
        <w:tabs>
          <w:tab w:val="left" w:pos="284"/>
        </w:tabs>
        <w:spacing w:after="200" w:line="360" w:lineRule="auto"/>
        <w:jc w:val="both"/>
        <w:rPr>
          <w:rFonts w:ascii="Tahoma" w:hAnsi="Tahoma" w:cs="Tahoma"/>
          <w:sz w:val="20"/>
          <w:szCs w:val="20"/>
          <w:lang w:val="es-SV" w:eastAsia="es-ES"/>
        </w:rPr>
      </w:pPr>
      <w:r w:rsidRPr="008B4383">
        <w:rPr>
          <w:rFonts w:ascii="Tahoma" w:hAnsi="Tahoma" w:cs="Tahoma"/>
          <w:sz w:val="20"/>
          <w:szCs w:val="20"/>
          <w:lang w:val="es-SV" w:eastAsia="es-ES"/>
        </w:rPr>
        <w:lastRenderedPageBreak/>
        <w:t>El Consejo Directivo, toma nota de la presentación la cual se agrega al libro de anexos, y ACUERDA:</w:t>
      </w:r>
    </w:p>
    <w:p w:rsidR="008B4383" w:rsidRPr="008B4383" w:rsidRDefault="008B4383" w:rsidP="008B4383">
      <w:pPr>
        <w:spacing w:line="360" w:lineRule="auto"/>
        <w:jc w:val="both"/>
        <w:rPr>
          <w:rFonts w:ascii="Tahoma" w:hAnsi="Tahoma" w:cs="Tahoma"/>
          <w:b/>
        </w:rPr>
      </w:pPr>
      <w:r w:rsidRPr="008B4383">
        <w:rPr>
          <w:rFonts w:ascii="Tahoma" w:hAnsi="Tahoma" w:cs="Tahoma"/>
          <w:b/>
        </w:rPr>
        <w:t xml:space="preserve">ACUERDO </w:t>
      </w:r>
      <w:r w:rsidR="004A624E">
        <w:rPr>
          <w:rFonts w:ascii="Tahoma" w:hAnsi="Tahoma" w:cs="Tahoma"/>
          <w:b/>
        </w:rPr>
        <w:t>1</w:t>
      </w:r>
      <w:r w:rsidRPr="008B4383">
        <w:rPr>
          <w:rFonts w:ascii="Tahoma" w:hAnsi="Tahoma" w:cs="Tahoma"/>
          <w:b/>
        </w:rPr>
        <w:t>-163</w:t>
      </w:r>
      <w:r w:rsidR="004A624E">
        <w:rPr>
          <w:rFonts w:ascii="Tahoma" w:hAnsi="Tahoma" w:cs="Tahoma"/>
          <w:b/>
        </w:rPr>
        <w:t>5</w:t>
      </w:r>
      <w:r w:rsidRPr="008B4383">
        <w:rPr>
          <w:rFonts w:ascii="Tahoma" w:hAnsi="Tahoma" w:cs="Tahoma"/>
          <w:b/>
        </w:rPr>
        <w:t>-2022</w:t>
      </w:r>
    </w:p>
    <w:p w:rsidR="008B4383" w:rsidRDefault="00F9257B" w:rsidP="00F9257B">
      <w:pPr>
        <w:pStyle w:val="Sinespaciado"/>
        <w:tabs>
          <w:tab w:val="left" w:pos="142"/>
        </w:tabs>
        <w:spacing w:after="200" w:line="360" w:lineRule="auto"/>
        <w:ind w:left="142"/>
        <w:jc w:val="both"/>
        <w:rPr>
          <w:rFonts w:ascii="Tahoma" w:hAnsi="Tahoma" w:cs="Tahoma"/>
          <w:b/>
          <w:sz w:val="20"/>
          <w:szCs w:val="20"/>
          <w:u w:val="double"/>
          <w:lang w:val="es-SV"/>
        </w:rPr>
      </w:pPr>
      <w:r w:rsidRPr="00F9257B">
        <w:rPr>
          <w:rFonts w:ascii="Tahoma" w:hAnsi="Tahoma" w:cs="Tahoma"/>
          <w:sz w:val="20"/>
          <w:szCs w:val="20"/>
          <w:lang w:val="es-PA" w:eastAsia="es-SV"/>
        </w:rPr>
        <w:t>Darse por enterados del Informe de Auditoría Financiera, emitido por la Corte de Cuentas, por el período del 1 de enero al 31 de diciembre de 2018</w:t>
      </w:r>
      <w:r w:rsidR="00EB47D2">
        <w:rPr>
          <w:rFonts w:ascii="Tahoma" w:hAnsi="Tahoma" w:cs="Tahoma"/>
          <w:sz w:val="20"/>
          <w:szCs w:val="20"/>
          <w:lang w:val="es-PA" w:eastAsia="es-SV"/>
        </w:rPr>
        <w:t>.</w:t>
      </w:r>
    </w:p>
    <w:p w:rsidR="004A624E" w:rsidRDefault="00F96D43" w:rsidP="004A624E">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F96D43">
        <w:rPr>
          <w:rFonts w:ascii="Tahoma" w:hAnsi="Tahoma" w:cs="Tahoma"/>
          <w:b/>
          <w:sz w:val="20"/>
          <w:szCs w:val="20"/>
          <w:u w:val="double"/>
          <w:lang w:val="es-SV"/>
        </w:rPr>
        <w:t>INFORME FINAL DE AUDITORÍA FISCAL DEL PERIODO DEL 01 DE ENERO AL 31 DE DICIEMBRE 2021.</w:t>
      </w:r>
    </w:p>
    <w:p w:rsidR="004A624E" w:rsidRPr="004A624E" w:rsidRDefault="004A624E" w:rsidP="004A624E">
      <w:pPr>
        <w:pStyle w:val="Sinespaciado"/>
        <w:tabs>
          <w:tab w:val="left" w:pos="142"/>
        </w:tabs>
        <w:spacing w:after="200" w:line="360" w:lineRule="auto"/>
        <w:ind w:left="-142"/>
        <w:jc w:val="both"/>
        <w:rPr>
          <w:rFonts w:ascii="Tahoma" w:hAnsi="Tahoma" w:cs="Tahoma"/>
          <w:sz w:val="20"/>
          <w:szCs w:val="20"/>
          <w:lang w:val="es-SV"/>
        </w:rPr>
      </w:pPr>
      <w:r w:rsidRPr="004A624E">
        <w:rPr>
          <w:rFonts w:ascii="Tahoma" w:hAnsi="Tahoma" w:cs="Tahoma"/>
          <w:sz w:val="20"/>
          <w:szCs w:val="20"/>
          <w:lang w:val="es-SV" w:eastAsia="es-ES"/>
        </w:rPr>
        <w:t>El Director Presidente</w:t>
      </w:r>
      <w:r w:rsidR="00ED68BC">
        <w:rPr>
          <w:rFonts w:ascii="Tahoma" w:hAnsi="Tahoma" w:cs="Tahoma"/>
          <w:sz w:val="20"/>
          <w:szCs w:val="20"/>
          <w:lang w:val="es-SV" w:eastAsia="es-ES"/>
        </w:rPr>
        <w:t xml:space="preserve"> Temporal,</w:t>
      </w:r>
      <w:r w:rsidRPr="004A624E">
        <w:rPr>
          <w:rFonts w:ascii="Tahoma" w:hAnsi="Tahoma" w:cs="Tahoma"/>
          <w:sz w:val="20"/>
          <w:szCs w:val="20"/>
          <w:lang w:val="es-SV" w:eastAsia="es-ES"/>
        </w:rPr>
        <w:t xml:space="preserve"> somete a conocimiento del Consejo Directivo el INFORME FINAL DE AUDITORÍA FISCAL DEL PERIODO DEL 01 D</w:t>
      </w:r>
      <w:r>
        <w:rPr>
          <w:rFonts w:ascii="Tahoma" w:hAnsi="Tahoma" w:cs="Tahoma"/>
          <w:sz w:val="20"/>
          <w:szCs w:val="20"/>
          <w:lang w:val="es-SV" w:eastAsia="es-ES"/>
        </w:rPr>
        <w:t xml:space="preserve">E ENERO AL 31 DE DICIEMBRE 2021, cede la palabra a la </w:t>
      </w:r>
      <w:r w:rsidR="00F17A4F">
        <w:rPr>
          <w:rFonts w:ascii="Tahoma" w:hAnsi="Tahoma" w:cs="Tahoma"/>
          <w:sz w:val="20"/>
          <w:szCs w:val="20"/>
          <w:lang w:val="es-PA" w:eastAsia="es-SV"/>
        </w:rPr>
        <w:t xml:space="preserve">Licenciada </w:t>
      </w:r>
      <w:r w:rsidR="00F17A4F" w:rsidRPr="00F17A4F">
        <w:rPr>
          <w:rFonts w:ascii="Tahoma" w:hAnsi="Tahoma" w:cs="Tahoma"/>
          <w:sz w:val="20"/>
          <w:szCs w:val="20"/>
          <w:lang w:val="es-PA" w:eastAsia="es-SV"/>
        </w:rPr>
        <w:t>Karla Murcia de Arevalo</w:t>
      </w:r>
      <w:r w:rsidR="00F17A4F">
        <w:rPr>
          <w:rFonts w:ascii="Tahoma" w:hAnsi="Tahoma" w:cs="Tahoma"/>
          <w:sz w:val="20"/>
          <w:szCs w:val="20"/>
          <w:lang w:val="es-SV" w:eastAsia="es-ES"/>
        </w:rPr>
        <w:t xml:space="preserve"> </w:t>
      </w:r>
      <w:r>
        <w:rPr>
          <w:rFonts w:ascii="Tahoma" w:hAnsi="Tahoma" w:cs="Tahoma"/>
          <w:sz w:val="20"/>
          <w:szCs w:val="20"/>
          <w:lang w:val="es-SV" w:eastAsia="es-ES"/>
        </w:rPr>
        <w:t xml:space="preserve">de la firma de Auditores Fiscales Murcia &amp; Murcia, S.A de C.V, y expone que han </w:t>
      </w:r>
      <w:r w:rsidRPr="004A624E">
        <w:rPr>
          <w:rFonts w:ascii="Tahoma" w:hAnsi="Tahoma" w:cs="Tahoma"/>
          <w:sz w:val="20"/>
          <w:szCs w:val="20"/>
          <w:lang w:val="es-SV"/>
        </w:rPr>
        <w:t xml:space="preserve">examinado el cumplimiento por parte de la </w:t>
      </w:r>
      <w:r w:rsidRPr="004A624E">
        <w:rPr>
          <w:rFonts w:ascii="Tahoma" w:hAnsi="Tahoma" w:cs="Tahoma"/>
          <w:b/>
          <w:bCs/>
          <w:sz w:val="20"/>
          <w:szCs w:val="20"/>
          <w:lang w:val="es-SV"/>
        </w:rPr>
        <w:t xml:space="preserve">Corporación Salvadoreña de Inversiones (CORSAIN) </w:t>
      </w:r>
      <w:r w:rsidRPr="004A624E">
        <w:rPr>
          <w:rFonts w:ascii="Tahoma" w:hAnsi="Tahoma" w:cs="Tahoma"/>
          <w:sz w:val="20"/>
          <w:szCs w:val="20"/>
          <w:lang w:val="es-SV"/>
        </w:rPr>
        <w:t xml:space="preserve">con Número de Identificación Tributaria 0614-010182-001-1, con las obligaciones tributarias contenidas en la Ley de Impuesto a la Transferencia de Bienes Muebles y a la Prestación de Servicios, Ley de Impuesto sobre la Renta, Código Tributario y sus respectivos reglamentos, por el ejercicio impositivo terminado el 31 de diciembre de 2021. </w:t>
      </w:r>
    </w:p>
    <w:p w:rsidR="004A624E" w:rsidRDefault="004A624E" w:rsidP="004A624E">
      <w:pPr>
        <w:pStyle w:val="Sinespaciado"/>
        <w:tabs>
          <w:tab w:val="left" w:pos="142"/>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Algunos aspectos tributarios evaluados:</w:t>
      </w:r>
    </w:p>
    <w:tbl>
      <w:tblPr>
        <w:tblW w:w="93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4"/>
        <w:gridCol w:w="7527"/>
      </w:tblGrid>
      <w:tr w:rsidR="00656542" w:rsidRPr="00656542" w:rsidTr="00656542">
        <w:trPr>
          <w:trHeight w:val="399"/>
        </w:trPr>
        <w:tc>
          <w:tcPr>
            <w:tcW w:w="1824" w:type="dxa"/>
            <w:shd w:val="clear" w:color="auto" w:fill="D0CECE" w:themeFill="background2" w:themeFillShade="E6"/>
            <w:tcMar>
              <w:top w:w="15" w:type="dxa"/>
              <w:left w:w="62" w:type="dxa"/>
              <w:bottom w:w="0" w:type="dxa"/>
              <w:right w:w="62" w:type="dxa"/>
            </w:tcMar>
            <w:vAlign w:val="center"/>
            <w:hideMark/>
          </w:tcPr>
          <w:p w:rsidR="00656542" w:rsidRPr="00656542" w:rsidRDefault="00656542" w:rsidP="00656542">
            <w:pPr>
              <w:spacing w:line="256" w:lineRule="auto"/>
              <w:ind w:left="-351"/>
              <w:jc w:val="center"/>
              <w:rPr>
                <w:rFonts w:ascii="Arial" w:hAnsi="Arial" w:cs="Arial"/>
                <w:szCs w:val="36"/>
                <w:lang w:val="es-SV" w:eastAsia="es-SV"/>
              </w:rPr>
            </w:pPr>
            <w:r w:rsidRPr="00656542">
              <w:rPr>
                <w:rFonts w:ascii="Calibri" w:hAnsi="Calibri" w:cs="Arial"/>
                <w:b/>
                <w:bCs/>
                <w:color w:val="000000"/>
                <w:kern w:val="24"/>
                <w:szCs w:val="28"/>
                <w:lang w:val="es-SV" w:eastAsia="es-SV"/>
              </w:rPr>
              <w:t>BASE LEGAL</w:t>
            </w:r>
          </w:p>
        </w:tc>
        <w:tc>
          <w:tcPr>
            <w:tcW w:w="7527" w:type="dxa"/>
            <w:shd w:val="clear" w:color="auto" w:fill="D0CECE" w:themeFill="background2" w:themeFillShade="E6"/>
            <w:tcMar>
              <w:top w:w="15" w:type="dxa"/>
              <w:left w:w="62" w:type="dxa"/>
              <w:bottom w:w="0" w:type="dxa"/>
              <w:right w:w="62" w:type="dxa"/>
            </w:tcMar>
            <w:vAlign w:val="center"/>
            <w:hideMark/>
          </w:tcPr>
          <w:p w:rsidR="00656542" w:rsidRPr="00656542" w:rsidRDefault="00656542" w:rsidP="00656542">
            <w:pPr>
              <w:spacing w:line="256" w:lineRule="auto"/>
              <w:jc w:val="center"/>
              <w:rPr>
                <w:rFonts w:ascii="Arial" w:hAnsi="Arial" w:cs="Arial"/>
                <w:szCs w:val="36"/>
                <w:lang w:val="es-SV" w:eastAsia="es-SV"/>
              </w:rPr>
            </w:pPr>
            <w:r w:rsidRPr="00656542">
              <w:rPr>
                <w:rFonts w:ascii="Calibri" w:hAnsi="Calibri" w:cs="Arial"/>
                <w:b/>
                <w:bCs/>
                <w:color w:val="000000"/>
                <w:kern w:val="24"/>
                <w:szCs w:val="28"/>
                <w:lang w:val="es-SV" w:eastAsia="es-SV"/>
              </w:rPr>
              <w:t>CUMPLIMIENTO FORMAL Y SUSTANTIVOS</w:t>
            </w:r>
          </w:p>
        </w:tc>
      </w:tr>
      <w:tr w:rsidR="00656542" w:rsidRPr="00656542" w:rsidTr="00656542">
        <w:trPr>
          <w:trHeight w:val="1051"/>
        </w:trPr>
        <w:tc>
          <w:tcPr>
            <w:tcW w:w="1824" w:type="dxa"/>
            <w:shd w:val="clear" w:color="auto" w:fill="D9E2F3" w:themeFill="accent5" w:themeFillTint="33"/>
            <w:tcMar>
              <w:top w:w="15" w:type="dxa"/>
              <w:left w:w="62" w:type="dxa"/>
              <w:bottom w:w="0" w:type="dxa"/>
              <w:right w:w="62" w:type="dxa"/>
            </w:tcMar>
            <w:vAlign w:val="center"/>
            <w:hideMark/>
          </w:tcPr>
          <w:p w:rsidR="00656542" w:rsidRPr="00656542" w:rsidRDefault="00656542" w:rsidP="00656542">
            <w:pPr>
              <w:spacing w:line="264" w:lineRule="auto"/>
              <w:jc w:val="center"/>
              <w:rPr>
                <w:rFonts w:ascii="Arial" w:hAnsi="Arial" w:cs="Arial"/>
                <w:szCs w:val="36"/>
                <w:lang w:val="es-SV" w:eastAsia="es-SV"/>
              </w:rPr>
            </w:pPr>
            <w:r w:rsidRPr="00656542">
              <w:rPr>
                <w:rFonts w:ascii="Calibri" w:hAnsi="Calibri" w:cs="Arial"/>
                <w:b/>
                <w:bCs/>
                <w:color w:val="000000"/>
                <w:kern w:val="24"/>
                <w:szCs w:val="28"/>
                <w:lang w:val="es-SV" w:eastAsia="es-SV"/>
              </w:rPr>
              <w:t>LIVA</w:t>
            </w:r>
          </w:p>
          <w:p w:rsidR="00656542" w:rsidRPr="00656542" w:rsidRDefault="00656542" w:rsidP="00656542">
            <w:pPr>
              <w:spacing w:line="264" w:lineRule="auto"/>
              <w:jc w:val="center"/>
              <w:rPr>
                <w:rFonts w:ascii="Arial" w:hAnsi="Arial" w:cs="Arial"/>
                <w:szCs w:val="36"/>
                <w:lang w:val="es-SV" w:eastAsia="es-SV"/>
              </w:rPr>
            </w:pPr>
            <w:r w:rsidRPr="00656542">
              <w:rPr>
                <w:rFonts w:ascii="Calibri" w:hAnsi="Calibri" w:cs="Arial"/>
                <w:b/>
                <w:bCs/>
                <w:color w:val="000000"/>
                <w:kern w:val="24"/>
                <w:szCs w:val="28"/>
                <w:lang w:val="es-SV" w:eastAsia="es-SV"/>
              </w:rPr>
              <w:t>Art. 94</w:t>
            </w:r>
          </w:p>
        </w:tc>
        <w:tc>
          <w:tcPr>
            <w:tcW w:w="7527" w:type="dxa"/>
            <w:shd w:val="clear" w:color="auto" w:fill="CFD5EA"/>
            <w:tcMar>
              <w:top w:w="15" w:type="dxa"/>
              <w:left w:w="62" w:type="dxa"/>
              <w:bottom w:w="0" w:type="dxa"/>
              <w:right w:w="62" w:type="dxa"/>
            </w:tcMar>
            <w:vAlign w:val="center"/>
            <w:hideMark/>
          </w:tcPr>
          <w:p w:rsidR="00656542" w:rsidRPr="00656542" w:rsidRDefault="00656542" w:rsidP="00656542">
            <w:pPr>
              <w:spacing w:line="264" w:lineRule="auto"/>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Verificamos y examinamos la presentación y pago del Impuesto a la Transferencia de Bienes Muebles y a la Prestación de Servicios IVA (F-07) correspondiente a cada uno de los periodos tributarios (enero a diciembre) de 2021.</w:t>
            </w:r>
          </w:p>
        </w:tc>
      </w:tr>
      <w:tr w:rsidR="00656542" w:rsidRPr="00656542" w:rsidTr="00656542">
        <w:trPr>
          <w:trHeight w:val="1051"/>
        </w:trPr>
        <w:tc>
          <w:tcPr>
            <w:tcW w:w="1824" w:type="dxa"/>
            <w:shd w:val="clear" w:color="auto" w:fill="D9E2F3" w:themeFill="accent5" w:themeFillTint="33"/>
            <w:tcMar>
              <w:top w:w="15" w:type="dxa"/>
              <w:left w:w="62" w:type="dxa"/>
              <w:bottom w:w="0" w:type="dxa"/>
              <w:right w:w="62" w:type="dxa"/>
            </w:tcMar>
            <w:vAlign w:val="center"/>
            <w:hideMark/>
          </w:tcPr>
          <w:p w:rsidR="00656542" w:rsidRPr="00656542" w:rsidRDefault="00656542" w:rsidP="00656542">
            <w:pPr>
              <w:spacing w:line="264" w:lineRule="auto"/>
              <w:jc w:val="center"/>
              <w:rPr>
                <w:rFonts w:ascii="Arial" w:hAnsi="Arial" w:cs="Arial"/>
                <w:szCs w:val="36"/>
                <w:lang w:val="en-US" w:eastAsia="es-SV"/>
              </w:rPr>
            </w:pPr>
            <w:r w:rsidRPr="00656542">
              <w:rPr>
                <w:rFonts w:ascii="Calibri" w:hAnsi="Calibri" w:cs="Arial"/>
                <w:b/>
                <w:bCs/>
                <w:color w:val="000000"/>
                <w:kern w:val="24"/>
                <w:szCs w:val="28"/>
                <w:lang w:val="en-US" w:eastAsia="es-SV"/>
              </w:rPr>
              <w:t>CT Art. 155 y 151, RCT Art.91</w:t>
            </w:r>
          </w:p>
        </w:tc>
        <w:tc>
          <w:tcPr>
            <w:tcW w:w="7527" w:type="dxa"/>
            <w:shd w:val="clear" w:color="auto" w:fill="E9EBF5"/>
            <w:tcMar>
              <w:top w:w="15" w:type="dxa"/>
              <w:left w:w="62" w:type="dxa"/>
              <w:bottom w:w="0" w:type="dxa"/>
              <w:right w:w="62" w:type="dxa"/>
            </w:tcMar>
            <w:vAlign w:val="center"/>
            <w:hideMark/>
          </w:tcPr>
          <w:p w:rsidR="00656542" w:rsidRPr="00656542" w:rsidRDefault="00656542" w:rsidP="00656542">
            <w:pPr>
              <w:spacing w:line="264" w:lineRule="auto"/>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Verificamos y examinamos la presentación y pago del Pago a Cuenta e Impuesto Retenido de Renta, Operaciones Financieras y Contribución Especial para la Seguridad Ciudadana (F-14) correspondiente a cada uno de los periodos tributarios (enero a diciembre) de 2021.</w:t>
            </w:r>
          </w:p>
        </w:tc>
      </w:tr>
      <w:tr w:rsidR="00656542" w:rsidRPr="00656542" w:rsidTr="00656542">
        <w:trPr>
          <w:trHeight w:val="981"/>
        </w:trPr>
        <w:tc>
          <w:tcPr>
            <w:tcW w:w="1824" w:type="dxa"/>
            <w:shd w:val="clear" w:color="auto" w:fill="D9E2F3" w:themeFill="accent5" w:themeFillTint="33"/>
            <w:tcMar>
              <w:top w:w="15" w:type="dxa"/>
              <w:left w:w="62" w:type="dxa"/>
              <w:bottom w:w="0" w:type="dxa"/>
              <w:right w:w="62" w:type="dxa"/>
            </w:tcMar>
            <w:vAlign w:val="center"/>
            <w:hideMark/>
          </w:tcPr>
          <w:p w:rsidR="00656542" w:rsidRPr="00656542" w:rsidRDefault="00656542" w:rsidP="00656542">
            <w:pPr>
              <w:spacing w:line="264" w:lineRule="auto"/>
              <w:jc w:val="center"/>
              <w:rPr>
                <w:rFonts w:ascii="Arial" w:hAnsi="Arial" w:cs="Arial"/>
                <w:szCs w:val="36"/>
                <w:lang w:val="en-US" w:eastAsia="es-SV"/>
              </w:rPr>
            </w:pPr>
            <w:r w:rsidRPr="00656542">
              <w:rPr>
                <w:rFonts w:ascii="Calibri" w:hAnsi="Calibri" w:cs="Arial"/>
                <w:b/>
                <w:bCs/>
                <w:color w:val="000000"/>
                <w:kern w:val="24"/>
                <w:szCs w:val="28"/>
                <w:lang w:val="en-US" w:eastAsia="es-SV"/>
              </w:rPr>
              <w:t>LIVA Art. 94 y CT Art. 123A</w:t>
            </w:r>
          </w:p>
        </w:tc>
        <w:tc>
          <w:tcPr>
            <w:tcW w:w="7527" w:type="dxa"/>
            <w:shd w:val="clear" w:color="auto" w:fill="CFD5EA"/>
            <w:tcMar>
              <w:top w:w="15" w:type="dxa"/>
              <w:left w:w="62" w:type="dxa"/>
              <w:bottom w:w="0" w:type="dxa"/>
              <w:right w:w="62" w:type="dxa"/>
            </w:tcMar>
            <w:vAlign w:val="center"/>
            <w:hideMark/>
          </w:tcPr>
          <w:p w:rsidR="00656542" w:rsidRPr="00656542" w:rsidRDefault="00656542" w:rsidP="00656542">
            <w:pPr>
              <w:spacing w:line="264" w:lineRule="auto"/>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Verificamos la presentación de Informe mensual de Retención, Percepción o Anticipo a Cuenta de IVA (F-930), correspondiente a cada uno de los periodos tributarios (enero a diciembre) de 2021.</w:t>
            </w:r>
          </w:p>
        </w:tc>
      </w:tr>
      <w:tr w:rsidR="00656542" w:rsidRPr="00656542" w:rsidTr="00656542">
        <w:trPr>
          <w:trHeight w:val="623"/>
        </w:trPr>
        <w:tc>
          <w:tcPr>
            <w:tcW w:w="1824" w:type="dxa"/>
            <w:shd w:val="clear" w:color="auto" w:fill="D9E2F3" w:themeFill="accent5" w:themeFillTint="33"/>
            <w:tcMar>
              <w:top w:w="15" w:type="dxa"/>
              <w:left w:w="62" w:type="dxa"/>
              <w:bottom w:w="0" w:type="dxa"/>
              <w:right w:w="62" w:type="dxa"/>
            </w:tcMar>
            <w:vAlign w:val="center"/>
            <w:hideMark/>
          </w:tcPr>
          <w:p w:rsidR="00656542" w:rsidRPr="00656542" w:rsidRDefault="00656542" w:rsidP="00656542">
            <w:pPr>
              <w:spacing w:line="264" w:lineRule="auto"/>
              <w:jc w:val="center"/>
              <w:rPr>
                <w:rFonts w:ascii="Arial" w:hAnsi="Arial" w:cs="Arial"/>
                <w:szCs w:val="36"/>
                <w:lang w:val="es-SV" w:eastAsia="es-SV"/>
              </w:rPr>
            </w:pPr>
            <w:r w:rsidRPr="00656542">
              <w:rPr>
                <w:rFonts w:ascii="Calibri" w:hAnsi="Calibri" w:cs="Arial"/>
                <w:b/>
                <w:bCs/>
                <w:color w:val="000000"/>
                <w:kern w:val="24"/>
                <w:szCs w:val="28"/>
                <w:lang w:val="es-SV" w:eastAsia="es-SV"/>
              </w:rPr>
              <w:t>CT Art.125</w:t>
            </w:r>
          </w:p>
        </w:tc>
        <w:tc>
          <w:tcPr>
            <w:tcW w:w="7527" w:type="dxa"/>
            <w:shd w:val="clear" w:color="auto" w:fill="E9EBF5"/>
            <w:tcMar>
              <w:top w:w="15" w:type="dxa"/>
              <w:left w:w="62" w:type="dxa"/>
              <w:bottom w:w="0" w:type="dxa"/>
              <w:right w:w="62" w:type="dxa"/>
            </w:tcMar>
            <w:vAlign w:val="center"/>
            <w:hideMark/>
          </w:tcPr>
          <w:p w:rsidR="00656542" w:rsidRPr="00656542" w:rsidRDefault="00656542" w:rsidP="00656542">
            <w:pPr>
              <w:spacing w:line="264" w:lineRule="auto"/>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Verificamos la presentación del Informe de Proveedores, Clientes, Acreedores y Deudores (F-987) correspondiente al periodo de enero a junio y julio a diciembre de 2021.</w:t>
            </w:r>
          </w:p>
        </w:tc>
      </w:tr>
      <w:tr w:rsidR="00656542" w:rsidRPr="00656542" w:rsidTr="00656542">
        <w:trPr>
          <w:trHeight w:val="511"/>
        </w:trPr>
        <w:tc>
          <w:tcPr>
            <w:tcW w:w="1824" w:type="dxa"/>
            <w:shd w:val="clear" w:color="auto" w:fill="D9E2F3" w:themeFill="accent5" w:themeFillTint="33"/>
            <w:tcMar>
              <w:top w:w="15" w:type="dxa"/>
              <w:left w:w="62" w:type="dxa"/>
              <w:bottom w:w="0" w:type="dxa"/>
              <w:right w:w="62" w:type="dxa"/>
            </w:tcMar>
            <w:vAlign w:val="center"/>
            <w:hideMark/>
          </w:tcPr>
          <w:p w:rsidR="00656542" w:rsidRPr="00656542" w:rsidRDefault="00656542" w:rsidP="00656542">
            <w:pPr>
              <w:spacing w:line="264" w:lineRule="auto"/>
              <w:jc w:val="center"/>
              <w:rPr>
                <w:rFonts w:ascii="Arial" w:hAnsi="Arial" w:cs="Arial"/>
                <w:szCs w:val="36"/>
                <w:lang w:val="es-SV" w:eastAsia="es-SV"/>
              </w:rPr>
            </w:pPr>
            <w:r w:rsidRPr="00656542">
              <w:rPr>
                <w:rFonts w:ascii="Calibri" w:hAnsi="Calibri" w:cs="Arial"/>
                <w:b/>
                <w:bCs/>
                <w:color w:val="000000"/>
                <w:kern w:val="24"/>
                <w:szCs w:val="28"/>
                <w:lang w:val="es-SV" w:eastAsia="es-SV"/>
              </w:rPr>
              <w:t>CT Art.123</w:t>
            </w:r>
          </w:p>
        </w:tc>
        <w:tc>
          <w:tcPr>
            <w:tcW w:w="7527" w:type="dxa"/>
            <w:shd w:val="clear" w:color="auto" w:fill="CFD5EA"/>
            <w:tcMar>
              <w:top w:w="15" w:type="dxa"/>
              <w:left w:w="62" w:type="dxa"/>
              <w:bottom w:w="0" w:type="dxa"/>
              <w:right w:w="62" w:type="dxa"/>
            </w:tcMar>
            <w:vAlign w:val="center"/>
            <w:hideMark/>
          </w:tcPr>
          <w:p w:rsidR="00656542" w:rsidRPr="00656542" w:rsidRDefault="00656542" w:rsidP="00656542">
            <w:pPr>
              <w:spacing w:line="264" w:lineRule="auto"/>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Verificamos la presentación de Informe Anual de Retenciones de ISR (formulario F910).</w:t>
            </w:r>
          </w:p>
        </w:tc>
      </w:tr>
      <w:tr w:rsidR="00656542" w:rsidRPr="00656542" w:rsidTr="00656542">
        <w:trPr>
          <w:trHeight w:val="578"/>
        </w:trPr>
        <w:tc>
          <w:tcPr>
            <w:tcW w:w="1824" w:type="dxa"/>
            <w:shd w:val="clear" w:color="auto" w:fill="D9E2F3" w:themeFill="accent5" w:themeFillTint="33"/>
            <w:tcMar>
              <w:top w:w="15" w:type="dxa"/>
              <w:left w:w="62" w:type="dxa"/>
              <w:bottom w:w="0" w:type="dxa"/>
              <w:right w:w="62" w:type="dxa"/>
            </w:tcMar>
            <w:vAlign w:val="center"/>
            <w:hideMark/>
          </w:tcPr>
          <w:p w:rsidR="00656542" w:rsidRPr="00656542" w:rsidRDefault="00656542" w:rsidP="00656542">
            <w:pPr>
              <w:spacing w:line="264" w:lineRule="auto"/>
              <w:jc w:val="center"/>
              <w:rPr>
                <w:rFonts w:ascii="Arial" w:hAnsi="Arial" w:cs="Arial"/>
                <w:szCs w:val="36"/>
                <w:lang w:val="es-SV" w:eastAsia="es-SV"/>
              </w:rPr>
            </w:pPr>
            <w:r w:rsidRPr="00656542">
              <w:rPr>
                <w:rFonts w:ascii="Calibri" w:hAnsi="Calibri" w:cs="Arial"/>
                <w:b/>
                <w:bCs/>
                <w:color w:val="000000"/>
                <w:kern w:val="24"/>
                <w:szCs w:val="28"/>
                <w:lang w:val="es-SV" w:eastAsia="es-SV"/>
              </w:rPr>
              <w:t>CT Art. 90</w:t>
            </w:r>
          </w:p>
        </w:tc>
        <w:tc>
          <w:tcPr>
            <w:tcW w:w="7527" w:type="dxa"/>
            <w:shd w:val="clear" w:color="auto" w:fill="E9EBF5"/>
            <w:tcMar>
              <w:top w:w="15" w:type="dxa"/>
              <w:left w:w="62" w:type="dxa"/>
              <w:bottom w:w="0" w:type="dxa"/>
              <w:right w:w="62" w:type="dxa"/>
            </w:tcMar>
            <w:vAlign w:val="center"/>
            <w:hideMark/>
          </w:tcPr>
          <w:p w:rsidR="00656542" w:rsidRPr="00656542" w:rsidRDefault="00656542" w:rsidP="00656542">
            <w:pPr>
              <w:spacing w:line="264" w:lineRule="auto"/>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Verificamos la presentación de actualización</w:t>
            </w:r>
            <w:r w:rsidRPr="00656542">
              <w:rPr>
                <w:rFonts w:ascii="Calibri" w:hAnsi="Calibri" w:cs="Arial"/>
                <w:color w:val="000000"/>
                <w:kern w:val="24"/>
                <w:szCs w:val="28"/>
                <w:lang w:val="x-none" w:eastAsia="es-SV"/>
              </w:rPr>
              <w:t xml:space="preserve"> de datos para recibir notificaciones (cambio de domicilio, formulario F211).</w:t>
            </w:r>
          </w:p>
        </w:tc>
      </w:tr>
      <w:tr w:rsidR="00656542" w:rsidRPr="00656542" w:rsidTr="00656542">
        <w:trPr>
          <w:trHeight w:val="1466"/>
        </w:trPr>
        <w:tc>
          <w:tcPr>
            <w:tcW w:w="1824" w:type="dxa"/>
            <w:shd w:val="clear" w:color="auto" w:fill="D9E2F3" w:themeFill="accent5" w:themeFillTint="33"/>
            <w:tcMar>
              <w:top w:w="15" w:type="dxa"/>
              <w:left w:w="62" w:type="dxa"/>
              <w:bottom w:w="0" w:type="dxa"/>
              <w:right w:w="62" w:type="dxa"/>
            </w:tcMar>
            <w:vAlign w:val="center"/>
            <w:hideMark/>
          </w:tcPr>
          <w:p w:rsidR="00656542" w:rsidRPr="00656542" w:rsidRDefault="00656542" w:rsidP="00656542">
            <w:pPr>
              <w:spacing w:line="264" w:lineRule="auto"/>
              <w:jc w:val="center"/>
              <w:rPr>
                <w:rFonts w:ascii="Arial" w:hAnsi="Arial" w:cs="Arial"/>
                <w:szCs w:val="36"/>
                <w:lang w:val="es-SV" w:eastAsia="es-SV"/>
              </w:rPr>
            </w:pPr>
            <w:r w:rsidRPr="00656542">
              <w:rPr>
                <w:rFonts w:ascii="Calibri" w:hAnsi="Calibri" w:cs="Arial"/>
                <w:b/>
                <w:bCs/>
                <w:color w:val="000000"/>
                <w:kern w:val="24"/>
                <w:szCs w:val="28"/>
                <w:lang w:val="es-SV" w:eastAsia="es-SV"/>
              </w:rPr>
              <w:t>RCT Art. 83, 85 y 86</w:t>
            </w:r>
          </w:p>
        </w:tc>
        <w:tc>
          <w:tcPr>
            <w:tcW w:w="7527" w:type="dxa"/>
            <w:shd w:val="clear" w:color="auto" w:fill="CFD5EA"/>
            <w:tcMar>
              <w:top w:w="15" w:type="dxa"/>
              <w:left w:w="62" w:type="dxa"/>
              <w:bottom w:w="0" w:type="dxa"/>
              <w:right w:w="62" w:type="dxa"/>
            </w:tcMar>
            <w:vAlign w:val="center"/>
            <w:hideMark/>
          </w:tcPr>
          <w:p w:rsidR="00656542" w:rsidRPr="00656542" w:rsidRDefault="00656542" w:rsidP="00656542">
            <w:pPr>
              <w:spacing w:line="264" w:lineRule="auto"/>
              <w:jc w:val="both"/>
              <w:rPr>
                <w:rFonts w:ascii="Arial" w:hAnsi="Arial" w:cs="Arial"/>
                <w:szCs w:val="36"/>
                <w:lang w:val="es-SV" w:eastAsia="es-SV"/>
              </w:rPr>
            </w:pPr>
            <w:r w:rsidRPr="00656542">
              <w:rPr>
                <w:rFonts w:ascii="Calibri" w:hAnsi="Calibri" w:cs="Arial"/>
                <w:color w:val="000000"/>
                <w:kern w:val="24"/>
                <w:szCs w:val="28"/>
                <w:lang w:val="es-SV" w:eastAsia="es-SV"/>
              </w:rPr>
              <w:t>Verificamos que los libros de control de IVA sean el reflejo de lo informado en las declaraciones mensuales, de acuerdo con los registros contables:</w:t>
            </w:r>
          </w:p>
          <w:p w:rsidR="00656542" w:rsidRPr="00656542" w:rsidRDefault="00656542" w:rsidP="00A52BCD">
            <w:pPr>
              <w:numPr>
                <w:ilvl w:val="0"/>
                <w:numId w:val="14"/>
              </w:numPr>
              <w:spacing w:line="264" w:lineRule="auto"/>
              <w:ind w:left="1267"/>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 xml:space="preserve">Libro de Ventas a Consumidor Final </w:t>
            </w:r>
          </w:p>
          <w:p w:rsidR="00656542" w:rsidRPr="00656542" w:rsidRDefault="00656542" w:rsidP="00A52BCD">
            <w:pPr>
              <w:numPr>
                <w:ilvl w:val="0"/>
                <w:numId w:val="14"/>
              </w:numPr>
              <w:spacing w:line="264" w:lineRule="auto"/>
              <w:ind w:left="1267"/>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Libro de Ventas a Contribuyentes</w:t>
            </w:r>
          </w:p>
          <w:p w:rsidR="00656542" w:rsidRPr="00656542" w:rsidRDefault="00656542" w:rsidP="00A52BCD">
            <w:pPr>
              <w:numPr>
                <w:ilvl w:val="0"/>
                <w:numId w:val="14"/>
              </w:numPr>
              <w:spacing w:line="264" w:lineRule="auto"/>
              <w:ind w:left="1267"/>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Libro de Compras</w:t>
            </w:r>
          </w:p>
        </w:tc>
      </w:tr>
      <w:tr w:rsidR="00656542" w:rsidRPr="00656542" w:rsidTr="00656542">
        <w:trPr>
          <w:trHeight w:val="1009"/>
        </w:trPr>
        <w:tc>
          <w:tcPr>
            <w:tcW w:w="1824" w:type="dxa"/>
            <w:shd w:val="clear" w:color="auto" w:fill="D9E2F3" w:themeFill="accent5" w:themeFillTint="33"/>
            <w:tcMar>
              <w:top w:w="15" w:type="dxa"/>
              <w:left w:w="62" w:type="dxa"/>
              <w:bottom w:w="0" w:type="dxa"/>
              <w:right w:w="62" w:type="dxa"/>
            </w:tcMar>
            <w:vAlign w:val="center"/>
            <w:hideMark/>
          </w:tcPr>
          <w:p w:rsidR="00656542" w:rsidRPr="00656542" w:rsidRDefault="00656542" w:rsidP="00656542">
            <w:pPr>
              <w:spacing w:line="264" w:lineRule="auto"/>
              <w:jc w:val="center"/>
              <w:rPr>
                <w:rFonts w:ascii="Arial" w:hAnsi="Arial" w:cs="Arial"/>
                <w:szCs w:val="36"/>
                <w:lang w:val="es-SV" w:eastAsia="es-SV"/>
              </w:rPr>
            </w:pPr>
            <w:r w:rsidRPr="00656542">
              <w:rPr>
                <w:rFonts w:ascii="Calibri" w:hAnsi="Calibri" w:cs="Arial"/>
                <w:b/>
                <w:bCs/>
                <w:color w:val="000000"/>
                <w:kern w:val="24"/>
                <w:szCs w:val="28"/>
                <w:lang w:val="es-ES" w:eastAsia="es-SV"/>
              </w:rPr>
              <w:t>Ley del Impuesto sobre la Renta Art. 37</w:t>
            </w:r>
          </w:p>
        </w:tc>
        <w:tc>
          <w:tcPr>
            <w:tcW w:w="7527" w:type="dxa"/>
            <w:shd w:val="clear" w:color="auto" w:fill="E9EBF5"/>
            <w:tcMar>
              <w:top w:w="15" w:type="dxa"/>
              <w:left w:w="62" w:type="dxa"/>
              <w:bottom w:w="0" w:type="dxa"/>
              <w:right w:w="62" w:type="dxa"/>
            </w:tcMar>
            <w:vAlign w:val="center"/>
            <w:hideMark/>
          </w:tcPr>
          <w:p w:rsidR="00656542" w:rsidRPr="00656542" w:rsidRDefault="00656542" w:rsidP="00656542">
            <w:pPr>
              <w:spacing w:line="264" w:lineRule="auto"/>
              <w:contextualSpacing/>
              <w:jc w:val="both"/>
              <w:rPr>
                <w:rFonts w:ascii="Arial" w:hAnsi="Arial" w:cs="Arial"/>
                <w:szCs w:val="36"/>
                <w:lang w:val="es-SV" w:eastAsia="es-SV"/>
              </w:rPr>
            </w:pPr>
            <w:r w:rsidRPr="00656542">
              <w:rPr>
                <w:rFonts w:ascii="Calibri" w:hAnsi="Calibri" w:cs="Arial"/>
                <w:color w:val="000000"/>
                <w:kern w:val="24"/>
                <w:szCs w:val="28"/>
                <w:lang w:val="es-SV" w:eastAsia="es-SV"/>
              </w:rPr>
              <w:t xml:space="preserve">Verificamos la presentación de la declaración de Renta del Impuesto sobre la Renta y Contribución Especial (F-11) </w:t>
            </w:r>
          </w:p>
        </w:tc>
      </w:tr>
    </w:tbl>
    <w:p w:rsidR="00656542" w:rsidRPr="004A624E" w:rsidRDefault="00656542" w:rsidP="004A624E">
      <w:pPr>
        <w:pStyle w:val="Sinespaciado"/>
        <w:tabs>
          <w:tab w:val="left" w:pos="142"/>
        </w:tabs>
        <w:spacing w:after="200" w:line="360" w:lineRule="auto"/>
        <w:ind w:left="-142"/>
        <w:jc w:val="both"/>
        <w:rPr>
          <w:rFonts w:ascii="Tahoma" w:hAnsi="Tahoma" w:cs="Tahoma"/>
          <w:sz w:val="20"/>
          <w:szCs w:val="20"/>
          <w:lang w:val="es-SV" w:eastAsia="es-ES"/>
        </w:rPr>
      </w:pPr>
    </w:p>
    <w:p w:rsidR="004A624E" w:rsidRDefault="00656542" w:rsidP="004A624E">
      <w:pPr>
        <w:pStyle w:val="Sinespaciado"/>
        <w:tabs>
          <w:tab w:val="left" w:pos="142"/>
        </w:tabs>
        <w:spacing w:after="200" w:line="360" w:lineRule="auto"/>
        <w:jc w:val="both"/>
        <w:rPr>
          <w:rFonts w:ascii="Tahoma" w:hAnsi="Tahoma" w:cs="Tahoma"/>
          <w:sz w:val="20"/>
          <w:szCs w:val="20"/>
          <w:lang w:val="es-SV" w:eastAsia="es-ES"/>
        </w:rPr>
      </w:pPr>
      <w:r w:rsidRPr="00656542">
        <w:rPr>
          <w:rFonts w:ascii="Tahoma" w:hAnsi="Tahoma" w:cs="Tahoma"/>
          <w:sz w:val="20"/>
          <w:szCs w:val="20"/>
          <w:lang w:val="es-SV" w:eastAsia="es-ES"/>
        </w:rPr>
        <w:t>Las declaraciones, libros de control de IVA y los anexos fiscales, fueron cotejados con los registros contables de CORSAIN</w:t>
      </w:r>
      <w:r>
        <w:rPr>
          <w:rFonts w:ascii="Tahoma" w:hAnsi="Tahoma" w:cs="Tahoma"/>
          <w:sz w:val="20"/>
          <w:szCs w:val="20"/>
          <w:lang w:val="es-SV" w:eastAsia="es-ES"/>
        </w:rPr>
        <w:t>.</w:t>
      </w:r>
    </w:p>
    <w:p w:rsidR="00656542" w:rsidRPr="00656542" w:rsidRDefault="00656542" w:rsidP="00656542">
      <w:pPr>
        <w:pStyle w:val="Sinespaciado"/>
        <w:tabs>
          <w:tab w:val="left" w:pos="142"/>
        </w:tabs>
        <w:spacing w:after="200" w:line="360" w:lineRule="auto"/>
        <w:jc w:val="both"/>
        <w:rPr>
          <w:rFonts w:ascii="Tahoma" w:hAnsi="Tahoma" w:cs="Tahoma"/>
          <w:sz w:val="20"/>
          <w:lang w:val="es-SV"/>
        </w:rPr>
      </w:pPr>
      <w:r w:rsidRPr="00656542">
        <w:rPr>
          <w:rFonts w:ascii="Tahoma" w:hAnsi="Tahoma" w:cs="Tahoma"/>
          <w:sz w:val="20"/>
          <w:lang w:val="es-SV"/>
        </w:rPr>
        <w:t>Consideramos que la evidencia de auditoría que hemos obtenido proporciona una base suficiente y adecuada para nuestra opinión.</w:t>
      </w:r>
    </w:p>
    <w:p w:rsidR="00656542" w:rsidRPr="00656542" w:rsidRDefault="00656542" w:rsidP="00656542">
      <w:pPr>
        <w:pStyle w:val="Sinespaciado"/>
        <w:tabs>
          <w:tab w:val="left" w:pos="142"/>
        </w:tabs>
        <w:spacing w:after="200" w:line="360" w:lineRule="auto"/>
        <w:jc w:val="both"/>
        <w:rPr>
          <w:rFonts w:ascii="Tahoma" w:hAnsi="Tahoma" w:cs="Tahoma"/>
          <w:sz w:val="20"/>
          <w:lang w:val="es-SV"/>
        </w:rPr>
      </w:pPr>
      <w:r w:rsidRPr="00656542">
        <w:rPr>
          <w:rFonts w:ascii="Tahoma" w:hAnsi="Tahoma" w:cs="Tahoma"/>
          <w:b/>
          <w:bCs/>
          <w:sz w:val="20"/>
          <w:lang w:val="es-SV"/>
        </w:rPr>
        <w:t>Opinión.</w:t>
      </w:r>
    </w:p>
    <w:p w:rsidR="00656542" w:rsidRPr="00EB47D2" w:rsidRDefault="00EB47D2" w:rsidP="00656542">
      <w:pPr>
        <w:pStyle w:val="Sinespaciado"/>
        <w:tabs>
          <w:tab w:val="left" w:pos="142"/>
        </w:tabs>
        <w:spacing w:after="200" w:line="360" w:lineRule="auto"/>
        <w:jc w:val="both"/>
        <w:rPr>
          <w:rFonts w:ascii="Tahoma" w:hAnsi="Tahoma" w:cs="Tahoma"/>
          <w:i/>
          <w:sz w:val="20"/>
          <w:lang w:val="es-SV"/>
        </w:rPr>
      </w:pPr>
      <w:r>
        <w:rPr>
          <w:rFonts w:ascii="Tahoma" w:hAnsi="Tahoma" w:cs="Tahoma"/>
          <w:i/>
          <w:sz w:val="20"/>
          <w:lang w:val="es-SV"/>
        </w:rPr>
        <w:t>“</w:t>
      </w:r>
      <w:r w:rsidR="00656542" w:rsidRPr="00EB47D2">
        <w:rPr>
          <w:rFonts w:ascii="Tahoma" w:hAnsi="Tahoma" w:cs="Tahoma"/>
          <w:i/>
          <w:sz w:val="20"/>
          <w:lang w:val="es-SV"/>
        </w:rPr>
        <w:t xml:space="preserve">En nuestra opinión, la </w:t>
      </w:r>
      <w:r w:rsidR="00656542" w:rsidRPr="00EB47D2">
        <w:rPr>
          <w:rFonts w:ascii="Tahoma" w:hAnsi="Tahoma" w:cs="Tahoma"/>
          <w:b/>
          <w:bCs/>
          <w:i/>
          <w:sz w:val="20"/>
          <w:lang w:val="es-SV"/>
        </w:rPr>
        <w:t>Corporación Salvadoreña de Inversiones (CORSAIN)</w:t>
      </w:r>
      <w:r w:rsidR="00656542" w:rsidRPr="00EB47D2">
        <w:rPr>
          <w:rFonts w:ascii="Tahoma" w:hAnsi="Tahoma" w:cs="Tahoma"/>
          <w:i/>
          <w:sz w:val="20"/>
          <w:lang w:val="es-SV"/>
        </w:rPr>
        <w:t>, cumplió, en todos los aspectos importantes, con las obligaciones tributarias contenidas en las leyes referidas en el párrafo introductorio, por el ejercicio terminado al 31 de diciembre de 2021</w:t>
      </w:r>
      <w:r>
        <w:rPr>
          <w:rFonts w:ascii="Tahoma" w:hAnsi="Tahoma" w:cs="Tahoma"/>
          <w:i/>
          <w:sz w:val="20"/>
          <w:lang w:val="es-SV"/>
        </w:rPr>
        <w:t>”</w:t>
      </w:r>
      <w:r w:rsidR="00656542" w:rsidRPr="00EB47D2">
        <w:rPr>
          <w:rFonts w:ascii="Tahoma" w:hAnsi="Tahoma" w:cs="Tahoma"/>
          <w:i/>
          <w:sz w:val="20"/>
          <w:lang w:val="es-SV"/>
        </w:rPr>
        <w:t>.</w:t>
      </w:r>
    </w:p>
    <w:p w:rsidR="004A624E" w:rsidRPr="008B4383" w:rsidRDefault="004A624E" w:rsidP="004A624E">
      <w:pPr>
        <w:pStyle w:val="Sinespaciado"/>
        <w:tabs>
          <w:tab w:val="left" w:pos="284"/>
        </w:tabs>
        <w:spacing w:after="200" w:line="360" w:lineRule="auto"/>
        <w:jc w:val="both"/>
        <w:rPr>
          <w:rFonts w:ascii="Tahoma" w:hAnsi="Tahoma" w:cs="Tahoma"/>
          <w:sz w:val="20"/>
          <w:szCs w:val="20"/>
          <w:lang w:val="es-SV" w:eastAsia="es-ES"/>
        </w:rPr>
      </w:pPr>
      <w:r w:rsidRPr="008B4383">
        <w:rPr>
          <w:rFonts w:ascii="Tahoma" w:hAnsi="Tahoma" w:cs="Tahoma"/>
          <w:sz w:val="20"/>
          <w:szCs w:val="20"/>
          <w:lang w:val="es-SV" w:eastAsia="es-ES"/>
        </w:rPr>
        <w:t>El Consejo Directivo, toma nota de la presentación la cual se agrega al libro de anexos, y ACUERDA:</w:t>
      </w:r>
    </w:p>
    <w:p w:rsidR="004A624E" w:rsidRPr="008B4383" w:rsidRDefault="004A624E" w:rsidP="004A624E">
      <w:pPr>
        <w:spacing w:line="360" w:lineRule="auto"/>
        <w:jc w:val="both"/>
        <w:rPr>
          <w:rFonts w:ascii="Tahoma" w:hAnsi="Tahoma" w:cs="Tahoma"/>
          <w:b/>
        </w:rPr>
      </w:pPr>
      <w:r w:rsidRPr="008B4383">
        <w:rPr>
          <w:rFonts w:ascii="Tahoma" w:hAnsi="Tahoma" w:cs="Tahoma"/>
          <w:b/>
        </w:rPr>
        <w:t xml:space="preserve">ACUERDO </w:t>
      </w:r>
      <w:r>
        <w:rPr>
          <w:rFonts w:ascii="Tahoma" w:hAnsi="Tahoma" w:cs="Tahoma"/>
          <w:b/>
        </w:rPr>
        <w:t>2-1635</w:t>
      </w:r>
      <w:r w:rsidRPr="008B4383">
        <w:rPr>
          <w:rFonts w:ascii="Tahoma" w:hAnsi="Tahoma" w:cs="Tahoma"/>
          <w:b/>
        </w:rPr>
        <w:t>-2022</w:t>
      </w:r>
    </w:p>
    <w:p w:rsidR="004F1993" w:rsidRDefault="004A624E" w:rsidP="004F1993">
      <w:pPr>
        <w:pStyle w:val="Sinespaciado"/>
        <w:tabs>
          <w:tab w:val="left" w:pos="142"/>
        </w:tabs>
        <w:spacing w:after="200" w:line="360" w:lineRule="auto"/>
        <w:jc w:val="both"/>
        <w:rPr>
          <w:rFonts w:ascii="Tahoma" w:hAnsi="Tahoma" w:cs="Tahoma"/>
          <w:b/>
          <w:sz w:val="20"/>
          <w:szCs w:val="20"/>
          <w:u w:val="double"/>
          <w:lang w:val="es-SV"/>
        </w:rPr>
      </w:pPr>
      <w:r w:rsidRPr="00F9257B">
        <w:rPr>
          <w:rFonts w:ascii="Tahoma" w:hAnsi="Tahoma" w:cs="Tahoma"/>
          <w:sz w:val="20"/>
          <w:szCs w:val="20"/>
          <w:lang w:val="es-PA" w:eastAsia="es-SV"/>
        </w:rPr>
        <w:t xml:space="preserve">Darse por enterados del Informe </w:t>
      </w:r>
      <w:r w:rsidR="004F1993">
        <w:rPr>
          <w:rFonts w:ascii="Tahoma" w:hAnsi="Tahoma" w:cs="Tahoma"/>
          <w:sz w:val="20"/>
          <w:szCs w:val="20"/>
          <w:lang w:val="es-PA" w:eastAsia="es-SV"/>
        </w:rPr>
        <w:t xml:space="preserve">final de auditoría fiscal, presentado por la Licenciada </w:t>
      </w:r>
      <w:r w:rsidR="00F17A4F" w:rsidRPr="00F17A4F">
        <w:rPr>
          <w:rFonts w:ascii="Tahoma" w:hAnsi="Tahoma" w:cs="Tahoma"/>
          <w:sz w:val="20"/>
          <w:szCs w:val="20"/>
          <w:lang w:val="es-PA" w:eastAsia="es-SV"/>
        </w:rPr>
        <w:t>Karla Murcia de Arevalo</w:t>
      </w:r>
      <w:r w:rsidR="004F1993" w:rsidRPr="00F17A4F">
        <w:rPr>
          <w:rFonts w:ascii="Tahoma" w:hAnsi="Tahoma" w:cs="Tahoma"/>
          <w:sz w:val="20"/>
          <w:szCs w:val="20"/>
          <w:lang w:val="es-PA" w:eastAsia="es-SV"/>
        </w:rPr>
        <w:t xml:space="preserve"> de la firma Murcia &amp; Murcia S.A de C.V; del periodo del 01 de enero al 31 de diciembre</w:t>
      </w:r>
      <w:r w:rsidR="004F1993">
        <w:rPr>
          <w:rFonts w:ascii="Tahoma" w:hAnsi="Tahoma" w:cs="Tahoma"/>
          <w:sz w:val="20"/>
          <w:szCs w:val="20"/>
          <w:lang w:val="es-PA" w:eastAsia="es-SV"/>
        </w:rPr>
        <w:t xml:space="preserve"> 2021, quienes emitieron una opinión limpia del periodo antes señalado.</w:t>
      </w:r>
    </w:p>
    <w:p w:rsidR="00F96D43" w:rsidRDefault="00C16FA8" w:rsidP="00F96D43">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Pr>
          <w:rFonts w:ascii="Tahoma" w:hAnsi="Tahoma" w:cs="Tahoma"/>
          <w:b/>
          <w:sz w:val="20"/>
          <w:szCs w:val="20"/>
          <w:u w:val="double"/>
        </w:rPr>
        <w:t>INFORMACIÓN CONFIDENCIAL, ART 24 DE LA LAIP</w:t>
      </w:r>
      <w:r w:rsidR="00F96D43" w:rsidRPr="00F96D43">
        <w:rPr>
          <w:rFonts w:ascii="Tahoma" w:hAnsi="Tahoma" w:cs="Tahoma"/>
          <w:b/>
          <w:sz w:val="20"/>
          <w:szCs w:val="20"/>
          <w:u w:val="double"/>
          <w:lang w:val="es-SV"/>
        </w:rPr>
        <w:t>.</w:t>
      </w: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C16FA8" w:rsidRDefault="00C16FA8" w:rsidP="00C16FA8">
      <w:pPr>
        <w:pStyle w:val="Sinespaciado"/>
        <w:tabs>
          <w:tab w:val="left" w:pos="142"/>
        </w:tabs>
        <w:spacing w:after="200" w:line="360" w:lineRule="auto"/>
        <w:jc w:val="both"/>
        <w:rPr>
          <w:rFonts w:ascii="Tahoma" w:hAnsi="Tahoma" w:cs="Tahoma"/>
          <w:b/>
          <w:sz w:val="20"/>
          <w:szCs w:val="20"/>
          <w:u w:val="double"/>
          <w:lang w:val="es-SV"/>
        </w:rPr>
      </w:pPr>
    </w:p>
    <w:p w:rsidR="005943B6" w:rsidRDefault="005943B6" w:rsidP="00C16FA8">
      <w:pPr>
        <w:pStyle w:val="Sinespaciado"/>
        <w:tabs>
          <w:tab w:val="left" w:pos="142"/>
        </w:tabs>
        <w:spacing w:after="200" w:line="360" w:lineRule="auto"/>
        <w:jc w:val="both"/>
        <w:rPr>
          <w:rFonts w:ascii="Tahoma" w:hAnsi="Tahoma" w:cs="Tahoma"/>
          <w:b/>
          <w:sz w:val="20"/>
          <w:szCs w:val="20"/>
          <w:u w:val="double"/>
          <w:lang w:val="es-SV"/>
        </w:rPr>
      </w:pPr>
    </w:p>
    <w:p w:rsidR="00ED68BC" w:rsidRPr="00ED68BC" w:rsidRDefault="00ED68BC" w:rsidP="00ED68BC">
      <w:pPr>
        <w:pStyle w:val="Sinespaciado"/>
        <w:tabs>
          <w:tab w:val="left" w:pos="142"/>
        </w:tabs>
        <w:spacing w:line="360" w:lineRule="auto"/>
        <w:ind w:left="720"/>
        <w:jc w:val="both"/>
        <w:rPr>
          <w:rFonts w:ascii="Tahoma" w:hAnsi="Tahoma" w:cs="Tahoma"/>
          <w:sz w:val="20"/>
          <w:szCs w:val="20"/>
          <w:lang w:val="es-SV" w:eastAsia="es-SV"/>
        </w:rPr>
      </w:pPr>
    </w:p>
    <w:p w:rsidR="00F96D43" w:rsidRDefault="005943B6" w:rsidP="00F96D43">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Pr>
          <w:rFonts w:ascii="Tahoma" w:hAnsi="Tahoma" w:cs="Tahoma"/>
          <w:b/>
          <w:sz w:val="20"/>
          <w:szCs w:val="20"/>
          <w:u w:val="double"/>
        </w:rPr>
        <w:t>INFORMACIÓN CONFIDENCIAL, ART 24 DE LA LAIP</w:t>
      </w:r>
    </w:p>
    <w:p w:rsidR="00F17A4F" w:rsidRDefault="00F17A4F"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943B6" w:rsidRDefault="005943B6"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F17A4F" w:rsidRDefault="00F17A4F" w:rsidP="00965F25">
      <w:pPr>
        <w:pStyle w:val="Sinespaciado"/>
        <w:tabs>
          <w:tab w:val="left" w:pos="284"/>
        </w:tabs>
        <w:spacing w:before="100" w:beforeAutospacing="1" w:after="100" w:afterAutospacing="1" w:line="360" w:lineRule="auto"/>
        <w:jc w:val="both"/>
        <w:rPr>
          <w:rFonts w:ascii="Tahoma" w:hAnsi="Tahoma" w:cs="Tahoma"/>
          <w:sz w:val="20"/>
          <w:szCs w:val="20"/>
          <w:lang w:val="es-SV"/>
        </w:rPr>
      </w:pPr>
    </w:p>
    <w:p w:rsidR="00536D10" w:rsidRPr="000C7EBC" w:rsidRDefault="00697279" w:rsidP="00965F25">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0C7EBC">
        <w:rPr>
          <w:rFonts w:ascii="Tahoma" w:hAnsi="Tahoma" w:cs="Tahoma"/>
          <w:sz w:val="20"/>
          <w:szCs w:val="20"/>
          <w:lang w:val="es-SV"/>
        </w:rPr>
        <w:t>No habiendo nada más que hacer constar, se da</w:t>
      </w:r>
      <w:r w:rsidR="00C11DDD" w:rsidRPr="000C7EBC">
        <w:rPr>
          <w:rFonts w:ascii="Tahoma" w:hAnsi="Tahoma" w:cs="Tahoma"/>
          <w:sz w:val="20"/>
          <w:szCs w:val="20"/>
          <w:lang w:val="es-SV"/>
        </w:rPr>
        <w:t xml:space="preserve"> por finalizada la sesión </w:t>
      </w:r>
      <w:r w:rsidR="00791C84" w:rsidRPr="000C7EBC">
        <w:rPr>
          <w:rFonts w:ascii="Tahoma" w:hAnsi="Tahoma" w:cs="Tahoma"/>
          <w:sz w:val="20"/>
          <w:szCs w:val="20"/>
          <w:lang w:val="es-SV"/>
        </w:rPr>
        <w:t xml:space="preserve">a las </w:t>
      </w:r>
      <w:r w:rsidR="005F0E5A">
        <w:rPr>
          <w:rFonts w:ascii="Tahoma" w:hAnsi="Tahoma" w:cs="Tahoma"/>
          <w:sz w:val="20"/>
          <w:szCs w:val="20"/>
          <w:lang w:val="es-SV"/>
        </w:rPr>
        <w:t>diecisiete</w:t>
      </w:r>
      <w:r w:rsidR="00C074F3" w:rsidRPr="000C7EBC">
        <w:rPr>
          <w:rFonts w:ascii="Tahoma" w:hAnsi="Tahoma" w:cs="Tahoma"/>
          <w:sz w:val="20"/>
          <w:szCs w:val="20"/>
          <w:lang w:val="es-SV"/>
        </w:rPr>
        <w:t xml:space="preserve"> horas</w:t>
      </w:r>
      <w:r w:rsidR="007E34CA" w:rsidRPr="000C7EBC">
        <w:rPr>
          <w:rFonts w:ascii="Tahoma" w:hAnsi="Tahoma" w:cs="Tahoma"/>
          <w:sz w:val="20"/>
          <w:szCs w:val="20"/>
          <w:lang w:val="es-SV"/>
        </w:rPr>
        <w:t xml:space="preserve"> con </w:t>
      </w:r>
      <w:r w:rsidR="005F0E5A">
        <w:rPr>
          <w:rFonts w:ascii="Tahoma" w:hAnsi="Tahoma" w:cs="Tahoma"/>
          <w:sz w:val="20"/>
          <w:szCs w:val="20"/>
          <w:lang w:val="es-SV"/>
        </w:rPr>
        <w:t>cuarenta y cinco</w:t>
      </w:r>
      <w:r w:rsidR="00E7222C">
        <w:rPr>
          <w:rFonts w:ascii="Tahoma" w:hAnsi="Tahoma" w:cs="Tahoma"/>
          <w:sz w:val="20"/>
          <w:szCs w:val="20"/>
          <w:lang w:val="es-SV"/>
        </w:rPr>
        <w:t xml:space="preserve"> </w:t>
      </w:r>
      <w:r w:rsidR="007E34CA" w:rsidRPr="000C7EBC">
        <w:rPr>
          <w:rFonts w:ascii="Tahoma" w:hAnsi="Tahoma" w:cs="Tahoma"/>
          <w:sz w:val="20"/>
          <w:szCs w:val="20"/>
          <w:lang w:val="es-SV"/>
        </w:rPr>
        <w:t>minutos</w:t>
      </w:r>
      <w:r w:rsidR="00D33929" w:rsidRPr="000C7EBC">
        <w:rPr>
          <w:rFonts w:ascii="Tahoma" w:hAnsi="Tahoma" w:cs="Tahoma"/>
          <w:sz w:val="20"/>
          <w:szCs w:val="20"/>
          <w:lang w:val="es-SV"/>
        </w:rPr>
        <w:t xml:space="preserve">, </w:t>
      </w:r>
      <w:r w:rsidR="00017B8E" w:rsidRPr="000C7EBC">
        <w:rPr>
          <w:rFonts w:ascii="Tahoma" w:hAnsi="Tahoma" w:cs="Tahoma"/>
          <w:sz w:val="20"/>
          <w:szCs w:val="20"/>
          <w:lang w:val="es-SV"/>
        </w:rPr>
        <w:t>del día</w:t>
      </w:r>
      <w:r w:rsidR="00AA702C" w:rsidRPr="000C7EBC">
        <w:rPr>
          <w:rFonts w:ascii="Tahoma" w:hAnsi="Tahoma" w:cs="Tahoma"/>
          <w:sz w:val="20"/>
          <w:szCs w:val="20"/>
          <w:lang w:val="es-SV"/>
        </w:rPr>
        <w:t xml:space="preserve"> </w:t>
      </w:r>
      <w:r w:rsidR="005F0E5A">
        <w:rPr>
          <w:rFonts w:ascii="Tahoma" w:hAnsi="Tahoma" w:cs="Tahoma"/>
          <w:sz w:val="20"/>
          <w:szCs w:val="20"/>
          <w:lang w:val="es-SV"/>
        </w:rPr>
        <w:t xml:space="preserve">treinta y uno </w:t>
      </w:r>
      <w:r w:rsidR="00F33EF9">
        <w:rPr>
          <w:rFonts w:ascii="Tahoma" w:hAnsi="Tahoma" w:cs="Tahoma"/>
          <w:sz w:val="20"/>
          <w:szCs w:val="20"/>
          <w:lang w:val="es-SV"/>
        </w:rPr>
        <w:t>de mayo</w:t>
      </w:r>
      <w:r w:rsidR="007E34CA" w:rsidRPr="000C7EBC">
        <w:rPr>
          <w:rFonts w:ascii="Tahoma" w:hAnsi="Tahoma" w:cs="Tahoma"/>
          <w:sz w:val="20"/>
          <w:szCs w:val="20"/>
          <w:lang w:val="es-SV"/>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906D68" w:rsidRDefault="00906D68" w:rsidP="002410AD">
            <w:pPr>
              <w:jc w:val="both"/>
              <w:rPr>
                <w:rFonts w:ascii="Tahoma" w:hAnsi="Tahoma" w:cs="Tahoma"/>
                <w:b/>
                <w:lang w:val="es-SV"/>
              </w:rPr>
            </w:pPr>
            <w:bookmarkStart w:id="1" w:name="_Hlk317068528"/>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1D7E89" w:rsidP="00F33EF9">
            <w:pPr>
              <w:jc w:val="both"/>
              <w:rPr>
                <w:rFonts w:ascii="Tahoma" w:hAnsi="Tahoma" w:cs="Tahoma"/>
                <w:lang w:val="es-SV"/>
              </w:rPr>
            </w:pPr>
            <w:r w:rsidRPr="000C7EBC">
              <w:rPr>
                <w:rFonts w:ascii="Tahoma" w:hAnsi="Tahoma" w:cs="Tahoma"/>
                <w:b/>
                <w:lang w:val="es-SV"/>
              </w:rPr>
              <w:t>DIRECTOR PRESIDENTE</w:t>
            </w:r>
            <w:r w:rsidR="00AE3BFC">
              <w:rPr>
                <w:rFonts w:ascii="Tahoma" w:hAnsi="Tahoma" w:cs="Tahoma"/>
                <w:b/>
                <w:lang w:val="es-SV"/>
              </w:rPr>
              <w:t xml:space="preserve"> TEMPORAL</w:t>
            </w:r>
          </w:p>
        </w:tc>
        <w:tc>
          <w:tcPr>
            <w:tcW w:w="4528" w:type="dxa"/>
            <w:shd w:val="clear" w:color="auto" w:fill="auto"/>
          </w:tcPr>
          <w:p w:rsidR="00906D68" w:rsidRDefault="00906D68"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F33EF9" w:rsidRDefault="00982EDC" w:rsidP="002410AD">
            <w:pPr>
              <w:rPr>
                <w:rFonts w:ascii="Tahoma" w:hAnsi="Tahoma" w:cs="Tahoma"/>
                <w:b/>
                <w:lang w:val="es-SV"/>
              </w:rPr>
            </w:pPr>
            <w:r w:rsidRPr="000C7EBC">
              <w:rPr>
                <w:rFonts w:ascii="Tahoma" w:hAnsi="Tahoma" w:cs="Tahoma"/>
                <w:b/>
                <w:lang w:val="es-SV"/>
              </w:rPr>
              <w:t xml:space="preserve">LIC. </w:t>
            </w:r>
            <w:r w:rsidR="00F33EF9" w:rsidRPr="000C7EBC">
              <w:rPr>
                <w:rFonts w:ascii="Tahoma" w:hAnsi="Tahoma" w:cs="Tahoma"/>
                <w:b/>
                <w:lang w:val="es-SV"/>
              </w:rPr>
              <w:t xml:space="preserve"> LIC. RAFAEL ERNESTO BAIRES FUENTES </w:t>
            </w:r>
            <w:r w:rsidR="001D7E89" w:rsidRPr="000C7EBC">
              <w:rPr>
                <w:rFonts w:ascii="Tahoma" w:hAnsi="Tahoma" w:cs="Tahoma"/>
                <w:b/>
                <w:lang w:val="es-SV"/>
              </w:rPr>
              <w:t xml:space="preserve"> </w:t>
            </w:r>
          </w:p>
          <w:p w:rsidR="001D7E89" w:rsidRPr="000C7EBC" w:rsidRDefault="00F33EF9" w:rsidP="002410AD">
            <w:pPr>
              <w:rPr>
                <w:rFonts w:ascii="Tahoma" w:hAnsi="Tahoma" w:cs="Tahoma"/>
                <w:b/>
                <w:lang w:val="es-SV"/>
              </w:rPr>
            </w:pPr>
            <w:r>
              <w:rPr>
                <w:rFonts w:ascii="Tahoma" w:hAnsi="Tahoma" w:cs="Tahoma"/>
                <w:b/>
                <w:lang w:val="es-SV"/>
              </w:rPr>
              <w:t>DIRECTOR PROPIETARIO</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797506" w:rsidRDefault="00797506" w:rsidP="002410AD">
            <w:pPr>
              <w:jc w:val="both"/>
              <w:rPr>
                <w:rFonts w:ascii="Tahoma" w:hAnsi="Tahoma" w:cs="Tahoma"/>
                <w:b/>
                <w:lang w:val="es-SV"/>
              </w:rPr>
            </w:pPr>
          </w:p>
          <w:p w:rsidR="003E3781" w:rsidRDefault="003E3781" w:rsidP="002410AD">
            <w:pPr>
              <w:jc w:val="both"/>
              <w:rPr>
                <w:rFonts w:ascii="Tahoma" w:hAnsi="Tahoma" w:cs="Tahoma"/>
                <w:b/>
                <w:lang w:val="es-SV"/>
              </w:rPr>
            </w:pPr>
          </w:p>
          <w:p w:rsidR="003E3781" w:rsidRDefault="003E3781" w:rsidP="002410AD">
            <w:pPr>
              <w:jc w:val="both"/>
              <w:rPr>
                <w:rFonts w:ascii="Tahoma" w:hAnsi="Tahoma" w:cs="Tahoma"/>
                <w:b/>
                <w:lang w:val="es-SV"/>
              </w:rPr>
            </w:pPr>
          </w:p>
          <w:p w:rsidR="003E3781" w:rsidRDefault="003E378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Pr="000C7EBC" w:rsidRDefault="00F33EF9" w:rsidP="00F33EF9">
            <w:pPr>
              <w:rPr>
                <w:rFonts w:ascii="Tahoma" w:hAnsi="Tahoma" w:cs="Tahoma"/>
                <w:b/>
                <w:lang w:val="es-SV"/>
              </w:rPr>
            </w:pPr>
            <w:r w:rsidRPr="000C7EBC">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797506" w:rsidRDefault="00797506" w:rsidP="002410AD">
            <w:pPr>
              <w:jc w:val="both"/>
              <w:rPr>
                <w:rFonts w:ascii="Tahoma" w:hAnsi="Tahoma" w:cs="Tahoma"/>
                <w:b/>
                <w:lang w:val="es-SV"/>
              </w:rPr>
            </w:pPr>
          </w:p>
          <w:p w:rsidR="00797506" w:rsidRPr="000C7EBC" w:rsidRDefault="00797506" w:rsidP="002410AD">
            <w:pPr>
              <w:jc w:val="both"/>
              <w:rPr>
                <w:rFonts w:ascii="Tahoma" w:hAnsi="Tahoma" w:cs="Tahoma"/>
                <w:b/>
                <w:lang w:val="es-SV"/>
              </w:rPr>
            </w:pPr>
          </w:p>
          <w:p w:rsidR="00797506" w:rsidRPr="000C7EBC" w:rsidRDefault="00797506"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F56959" w:rsidP="00F56959">
            <w:pPr>
              <w:jc w:val="both"/>
              <w:rPr>
                <w:rFonts w:ascii="Tahoma" w:hAnsi="Tahoma" w:cs="Tahoma"/>
                <w:b/>
                <w:lang w:val="es-SV"/>
              </w:rPr>
            </w:pPr>
            <w:r w:rsidRPr="000C7EBC">
              <w:rPr>
                <w:rFonts w:ascii="Tahoma" w:hAnsi="Tahoma" w:cs="Tahoma"/>
                <w:b/>
                <w:lang w:val="es-SV"/>
              </w:rPr>
              <w:t>LICENCIADO JOSE GERARDO HERNANDEZ RIVERA.</w:t>
            </w:r>
          </w:p>
          <w:p w:rsidR="001D7E89" w:rsidRPr="000C7EBC" w:rsidRDefault="00F56959" w:rsidP="00F56959">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AD0C0F">
            <w:pPr>
              <w:jc w:val="both"/>
              <w:rPr>
                <w:rFonts w:ascii="Tahoma" w:hAnsi="Tahoma" w:cs="Tahoma"/>
                <w:lang w:val="es-SV"/>
              </w:rPr>
            </w:pPr>
          </w:p>
        </w:tc>
        <w:tc>
          <w:tcPr>
            <w:tcW w:w="4528" w:type="dxa"/>
            <w:shd w:val="clear" w:color="auto" w:fill="auto"/>
          </w:tcPr>
          <w:p w:rsidR="00797506" w:rsidRDefault="00797506" w:rsidP="002410AD">
            <w:pPr>
              <w:jc w:val="both"/>
              <w:rPr>
                <w:rFonts w:ascii="Tahoma" w:hAnsi="Tahoma" w:cs="Tahoma"/>
                <w:b/>
                <w:lang w:val="es-SV"/>
              </w:rPr>
            </w:pPr>
          </w:p>
          <w:p w:rsidR="00797506" w:rsidRDefault="00797506"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ab/>
            </w:r>
          </w:p>
          <w:p w:rsidR="003E3781" w:rsidRDefault="003E3781" w:rsidP="002410AD">
            <w:pPr>
              <w:jc w:val="both"/>
              <w:rPr>
                <w:rFonts w:ascii="Tahoma" w:hAnsi="Tahoma" w:cs="Tahoma"/>
                <w:b/>
                <w:lang w:val="es-SV"/>
              </w:rPr>
            </w:pPr>
          </w:p>
          <w:p w:rsidR="003E3781" w:rsidRDefault="003E3781" w:rsidP="002410AD">
            <w:pPr>
              <w:jc w:val="both"/>
              <w:rPr>
                <w:rFonts w:ascii="Tahoma" w:hAnsi="Tahoma" w:cs="Tahoma"/>
                <w:b/>
                <w:lang w:val="es-SV"/>
              </w:rPr>
            </w:pPr>
          </w:p>
          <w:p w:rsidR="00906D68" w:rsidRDefault="00906D68"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F56959" w:rsidP="00F56959">
            <w:pPr>
              <w:rPr>
                <w:rFonts w:ascii="Tahoma" w:hAnsi="Tahoma" w:cs="Tahoma"/>
                <w:b/>
                <w:lang w:val="es-SV"/>
              </w:rPr>
            </w:pPr>
            <w:r w:rsidRPr="000C7EBC">
              <w:rPr>
                <w:rFonts w:ascii="Tahoma" w:hAnsi="Tahoma" w:cs="Tahoma"/>
                <w:b/>
                <w:lang w:val="es-SV"/>
              </w:rPr>
              <w:t>DRA. TERESA DEL CARMEN FLORES DE GUEVARA</w:t>
            </w:r>
          </w:p>
          <w:p w:rsidR="00F56959" w:rsidRPr="000C7EBC" w:rsidRDefault="00F56959" w:rsidP="00F56959">
            <w:pPr>
              <w:rPr>
                <w:rFonts w:ascii="Tahoma" w:hAnsi="Tahoma" w:cs="Tahoma"/>
                <w:b/>
                <w:lang w:val="es-SV"/>
              </w:rPr>
            </w:pPr>
            <w:r w:rsidRPr="000C7EBC">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F33EF9" w:rsidRDefault="00F33EF9" w:rsidP="002410AD">
            <w:pPr>
              <w:jc w:val="both"/>
              <w:rPr>
                <w:rFonts w:ascii="Tahoma" w:hAnsi="Tahoma" w:cs="Tahoma"/>
                <w:b/>
                <w:lang w:val="es-SV"/>
              </w:rPr>
            </w:pPr>
          </w:p>
          <w:p w:rsidR="00797506" w:rsidRDefault="00797506"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Pr="000C7EBC" w:rsidRDefault="001D7E89" w:rsidP="002410AD">
            <w:pPr>
              <w:jc w:val="both"/>
              <w:rPr>
                <w:rFonts w:ascii="Tahoma" w:hAnsi="Tahoma" w:cs="Tahoma"/>
                <w:b/>
                <w:lang w:val="es-SV"/>
              </w:rPr>
            </w:pPr>
          </w:p>
          <w:p w:rsidR="006F1476" w:rsidRPr="000C7EBC" w:rsidRDefault="006F1476" w:rsidP="002410AD">
            <w:pPr>
              <w:rPr>
                <w:rFonts w:ascii="Tahoma" w:hAnsi="Tahoma" w:cs="Tahoma"/>
                <w:b/>
                <w:lang w:val="es-SV"/>
              </w:rPr>
            </w:pPr>
          </w:p>
          <w:p w:rsidR="00982EDC" w:rsidRPr="000C7EBC" w:rsidRDefault="00982EDC" w:rsidP="002410AD">
            <w:pPr>
              <w:rPr>
                <w:rFonts w:ascii="Tahoma" w:hAnsi="Tahoma" w:cs="Tahoma"/>
                <w:b/>
                <w:lang w:val="es-SV"/>
              </w:rPr>
            </w:pPr>
          </w:p>
          <w:p w:rsidR="00982EDC" w:rsidRPr="000C7EBC" w:rsidRDefault="00982EDC" w:rsidP="002410AD">
            <w:pPr>
              <w:rPr>
                <w:rFonts w:ascii="Tahoma" w:hAnsi="Tahoma" w:cs="Tahoma"/>
                <w:b/>
                <w:lang w:val="es-SV"/>
              </w:rPr>
            </w:pPr>
          </w:p>
          <w:p w:rsidR="0027605B" w:rsidRPr="000C7EBC" w:rsidRDefault="0027605B" w:rsidP="002410AD">
            <w:pPr>
              <w:rPr>
                <w:rFonts w:ascii="Tahoma" w:hAnsi="Tahoma" w:cs="Tahoma"/>
                <w:b/>
                <w:lang w:val="es-SV"/>
              </w:rPr>
            </w:pPr>
          </w:p>
          <w:p w:rsidR="0096467F" w:rsidRPr="000C7EBC" w:rsidRDefault="0096467F" w:rsidP="002410AD">
            <w:pPr>
              <w:jc w:val="both"/>
              <w:rPr>
                <w:rFonts w:ascii="Tahoma" w:hAnsi="Tahoma" w:cs="Tahoma"/>
                <w:b/>
                <w:lang w:val="es-SV"/>
              </w:rPr>
            </w:pPr>
          </w:p>
        </w:tc>
      </w:tr>
      <w:bookmarkEnd w:id="1"/>
    </w:tbl>
    <w:p w:rsidR="00D94E2D" w:rsidRDefault="00D94E2D" w:rsidP="001D7E89">
      <w:pPr>
        <w:rPr>
          <w:rFonts w:ascii="Tahoma" w:hAnsi="Tahoma" w:cs="Tahoma"/>
          <w:lang w:val="es-SV"/>
        </w:rPr>
      </w:pPr>
    </w:p>
    <w:p w:rsidR="00F17A4F" w:rsidRDefault="00F17A4F" w:rsidP="001D7E89">
      <w:pPr>
        <w:rPr>
          <w:rFonts w:ascii="Tahoma" w:hAnsi="Tahoma" w:cs="Tahoma"/>
          <w:lang w:val="es-SV"/>
        </w:rPr>
      </w:pPr>
    </w:p>
    <w:p w:rsidR="00F17A4F" w:rsidRPr="000C7EBC" w:rsidRDefault="00F17A4F" w:rsidP="001D7E89">
      <w:pPr>
        <w:rPr>
          <w:rFonts w:ascii="Tahoma" w:hAnsi="Tahoma" w:cs="Tahoma"/>
          <w:lang w:val="es-SV"/>
        </w:rPr>
      </w:pPr>
    </w:p>
    <w:sectPr w:rsidR="00F17A4F"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D2" w:rsidRDefault="003B7FD2" w:rsidP="001A7AEF">
      <w:r>
        <w:separator/>
      </w:r>
    </w:p>
  </w:endnote>
  <w:endnote w:type="continuationSeparator" w:id="0">
    <w:p w:rsidR="003B7FD2" w:rsidRDefault="003B7FD2"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D2" w:rsidRDefault="003B7FD2" w:rsidP="001A7AEF">
      <w:r>
        <w:separator/>
      </w:r>
    </w:p>
  </w:footnote>
  <w:footnote w:type="continuationSeparator" w:id="0">
    <w:p w:rsidR="003B7FD2" w:rsidRDefault="003B7FD2"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4B5935"/>
    <w:multiLevelType w:val="hybridMultilevel"/>
    <w:tmpl w:val="3C6A136E"/>
    <w:lvl w:ilvl="0" w:tplc="457C08EA">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4">
    <w:nsid w:val="204A78BB"/>
    <w:multiLevelType w:val="hybridMultilevel"/>
    <w:tmpl w:val="EED85E70"/>
    <w:lvl w:ilvl="0" w:tplc="44CE08DC">
      <w:start w:val="1"/>
      <w:numFmt w:val="bullet"/>
      <w:lvlText w:val=""/>
      <w:lvlJc w:val="left"/>
      <w:pPr>
        <w:tabs>
          <w:tab w:val="num" w:pos="720"/>
        </w:tabs>
        <w:ind w:left="720" w:hanging="360"/>
      </w:pPr>
      <w:rPr>
        <w:rFonts w:ascii="Wingdings" w:hAnsi="Wingdings" w:hint="default"/>
      </w:rPr>
    </w:lvl>
    <w:lvl w:ilvl="1" w:tplc="198EE45C" w:tentative="1">
      <w:start w:val="1"/>
      <w:numFmt w:val="bullet"/>
      <w:lvlText w:val=""/>
      <w:lvlJc w:val="left"/>
      <w:pPr>
        <w:tabs>
          <w:tab w:val="num" w:pos="1440"/>
        </w:tabs>
        <w:ind w:left="1440" w:hanging="360"/>
      </w:pPr>
      <w:rPr>
        <w:rFonts w:ascii="Wingdings" w:hAnsi="Wingdings" w:hint="default"/>
      </w:rPr>
    </w:lvl>
    <w:lvl w:ilvl="2" w:tplc="3D0EC968" w:tentative="1">
      <w:start w:val="1"/>
      <w:numFmt w:val="bullet"/>
      <w:lvlText w:val=""/>
      <w:lvlJc w:val="left"/>
      <w:pPr>
        <w:tabs>
          <w:tab w:val="num" w:pos="2160"/>
        </w:tabs>
        <w:ind w:left="2160" w:hanging="360"/>
      </w:pPr>
      <w:rPr>
        <w:rFonts w:ascii="Wingdings" w:hAnsi="Wingdings" w:hint="default"/>
      </w:rPr>
    </w:lvl>
    <w:lvl w:ilvl="3" w:tplc="4720F382" w:tentative="1">
      <w:start w:val="1"/>
      <w:numFmt w:val="bullet"/>
      <w:lvlText w:val=""/>
      <w:lvlJc w:val="left"/>
      <w:pPr>
        <w:tabs>
          <w:tab w:val="num" w:pos="2880"/>
        </w:tabs>
        <w:ind w:left="2880" w:hanging="360"/>
      </w:pPr>
      <w:rPr>
        <w:rFonts w:ascii="Wingdings" w:hAnsi="Wingdings" w:hint="default"/>
      </w:rPr>
    </w:lvl>
    <w:lvl w:ilvl="4" w:tplc="65BEB17E" w:tentative="1">
      <w:start w:val="1"/>
      <w:numFmt w:val="bullet"/>
      <w:lvlText w:val=""/>
      <w:lvlJc w:val="left"/>
      <w:pPr>
        <w:tabs>
          <w:tab w:val="num" w:pos="3600"/>
        </w:tabs>
        <w:ind w:left="3600" w:hanging="360"/>
      </w:pPr>
      <w:rPr>
        <w:rFonts w:ascii="Wingdings" w:hAnsi="Wingdings" w:hint="default"/>
      </w:rPr>
    </w:lvl>
    <w:lvl w:ilvl="5" w:tplc="DF148E7C" w:tentative="1">
      <w:start w:val="1"/>
      <w:numFmt w:val="bullet"/>
      <w:lvlText w:val=""/>
      <w:lvlJc w:val="left"/>
      <w:pPr>
        <w:tabs>
          <w:tab w:val="num" w:pos="4320"/>
        </w:tabs>
        <w:ind w:left="4320" w:hanging="360"/>
      </w:pPr>
      <w:rPr>
        <w:rFonts w:ascii="Wingdings" w:hAnsi="Wingdings" w:hint="default"/>
      </w:rPr>
    </w:lvl>
    <w:lvl w:ilvl="6" w:tplc="9D204D48" w:tentative="1">
      <w:start w:val="1"/>
      <w:numFmt w:val="bullet"/>
      <w:lvlText w:val=""/>
      <w:lvlJc w:val="left"/>
      <w:pPr>
        <w:tabs>
          <w:tab w:val="num" w:pos="5040"/>
        </w:tabs>
        <w:ind w:left="5040" w:hanging="360"/>
      </w:pPr>
      <w:rPr>
        <w:rFonts w:ascii="Wingdings" w:hAnsi="Wingdings" w:hint="default"/>
      </w:rPr>
    </w:lvl>
    <w:lvl w:ilvl="7" w:tplc="17EACBD8" w:tentative="1">
      <w:start w:val="1"/>
      <w:numFmt w:val="bullet"/>
      <w:lvlText w:val=""/>
      <w:lvlJc w:val="left"/>
      <w:pPr>
        <w:tabs>
          <w:tab w:val="num" w:pos="5760"/>
        </w:tabs>
        <w:ind w:left="5760" w:hanging="360"/>
      </w:pPr>
      <w:rPr>
        <w:rFonts w:ascii="Wingdings" w:hAnsi="Wingdings" w:hint="default"/>
      </w:rPr>
    </w:lvl>
    <w:lvl w:ilvl="8" w:tplc="BC8A8558" w:tentative="1">
      <w:start w:val="1"/>
      <w:numFmt w:val="bullet"/>
      <w:lvlText w:val=""/>
      <w:lvlJc w:val="left"/>
      <w:pPr>
        <w:tabs>
          <w:tab w:val="num" w:pos="6480"/>
        </w:tabs>
        <w:ind w:left="6480" w:hanging="360"/>
      </w:pPr>
      <w:rPr>
        <w:rFonts w:ascii="Wingdings" w:hAnsi="Wingdings" w:hint="default"/>
      </w:rPr>
    </w:lvl>
  </w:abstractNum>
  <w:abstractNum w:abstractNumId="5">
    <w:nsid w:val="2FB15093"/>
    <w:multiLevelType w:val="hybridMultilevel"/>
    <w:tmpl w:val="9FF06B9A"/>
    <w:lvl w:ilvl="0" w:tplc="72E64506">
      <w:start w:val="1"/>
      <w:numFmt w:val="upperRoman"/>
      <w:lvlText w:val="%1."/>
      <w:lvlJc w:val="right"/>
      <w:pPr>
        <w:tabs>
          <w:tab w:val="num" w:pos="720"/>
        </w:tabs>
        <w:ind w:left="720" w:hanging="360"/>
      </w:pPr>
      <w:rPr>
        <w:b/>
      </w:rPr>
    </w:lvl>
    <w:lvl w:ilvl="1" w:tplc="D090BD80" w:tentative="1">
      <w:start w:val="1"/>
      <w:numFmt w:val="upperRoman"/>
      <w:lvlText w:val="%2."/>
      <w:lvlJc w:val="right"/>
      <w:pPr>
        <w:tabs>
          <w:tab w:val="num" w:pos="1440"/>
        </w:tabs>
        <w:ind w:left="1440" w:hanging="360"/>
      </w:pPr>
    </w:lvl>
    <w:lvl w:ilvl="2" w:tplc="7C8478D6" w:tentative="1">
      <w:start w:val="1"/>
      <w:numFmt w:val="upperRoman"/>
      <w:lvlText w:val="%3."/>
      <w:lvlJc w:val="right"/>
      <w:pPr>
        <w:tabs>
          <w:tab w:val="num" w:pos="2160"/>
        </w:tabs>
        <w:ind w:left="2160" w:hanging="360"/>
      </w:pPr>
    </w:lvl>
    <w:lvl w:ilvl="3" w:tplc="4C6AD5BC" w:tentative="1">
      <w:start w:val="1"/>
      <w:numFmt w:val="upperRoman"/>
      <w:lvlText w:val="%4."/>
      <w:lvlJc w:val="right"/>
      <w:pPr>
        <w:tabs>
          <w:tab w:val="num" w:pos="2880"/>
        </w:tabs>
        <w:ind w:left="2880" w:hanging="360"/>
      </w:pPr>
    </w:lvl>
    <w:lvl w:ilvl="4" w:tplc="46A23CB2" w:tentative="1">
      <w:start w:val="1"/>
      <w:numFmt w:val="upperRoman"/>
      <w:lvlText w:val="%5."/>
      <w:lvlJc w:val="right"/>
      <w:pPr>
        <w:tabs>
          <w:tab w:val="num" w:pos="3600"/>
        </w:tabs>
        <w:ind w:left="3600" w:hanging="360"/>
      </w:pPr>
    </w:lvl>
    <w:lvl w:ilvl="5" w:tplc="C2526038" w:tentative="1">
      <w:start w:val="1"/>
      <w:numFmt w:val="upperRoman"/>
      <w:lvlText w:val="%6."/>
      <w:lvlJc w:val="right"/>
      <w:pPr>
        <w:tabs>
          <w:tab w:val="num" w:pos="4320"/>
        </w:tabs>
        <w:ind w:left="4320" w:hanging="360"/>
      </w:pPr>
    </w:lvl>
    <w:lvl w:ilvl="6" w:tplc="C8A892AA" w:tentative="1">
      <w:start w:val="1"/>
      <w:numFmt w:val="upperRoman"/>
      <w:lvlText w:val="%7."/>
      <w:lvlJc w:val="right"/>
      <w:pPr>
        <w:tabs>
          <w:tab w:val="num" w:pos="5040"/>
        </w:tabs>
        <w:ind w:left="5040" w:hanging="360"/>
      </w:pPr>
    </w:lvl>
    <w:lvl w:ilvl="7" w:tplc="19BEF526" w:tentative="1">
      <w:start w:val="1"/>
      <w:numFmt w:val="upperRoman"/>
      <w:lvlText w:val="%8."/>
      <w:lvlJc w:val="right"/>
      <w:pPr>
        <w:tabs>
          <w:tab w:val="num" w:pos="5760"/>
        </w:tabs>
        <w:ind w:left="5760" w:hanging="360"/>
      </w:pPr>
    </w:lvl>
    <w:lvl w:ilvl="8" w:tplc="6EBC7D5A" w:tentative="1">
      <w:start w:val="1"/>
      <w:numFmt w:val="upperRoman"/>
      <w:lvlText w:val="%9."/>
      <w:lvlJc w:val="right"/>
      <w:pPr>
        <w:tabs>
          <w:tab w:val="num" w:pos="6480"/>
        </w:tabs>
        <w:ind w:left="6480" w:hanging="360"/>
      </w:pPr>
    </w:lvl>
  </w:abstractNum>
  <w:abstractNum w:abstractNumId="6">
    <w:nsid w:val="31DA357D"/>
    <w:multiLevelType w:val="hybridMultilevel"/>
    <w:tmpl w:val="71B478C2"/>
    <w:lvl w:ilvl="0" w:tplc="1FCE73C2">
      <w:start w:val="1"/>
      <w:numFmt w:val="bullet"/>
      <w:lvlText w:val=""/>
      <w:lvlJc w:val="left"/>
      <w:pPr>
        <w:tabs>
          <w:tab w:val="num" w:pos="720"/>
        </w:tabs>
        <w:ind w:left="720" w:hanging="360"/>
      </w:pPr>
      <w:rPr>
        <w:rFonts w:ascii="Wingdings" w:hAnsi="Wingdings" w:hint="default"/>
      </w:rPr>
    </w:lvl>
    <w:lvl w:ilvl="1" w:tplc="400EB5C6" w:tentative="1">
      <w:start w:val="1"/>
      <w:numFmt w:val="bullet"/>
      <w:lvlText w:val=""/>
      <w:lvlJc w:val="left"/>
      <w:pPr>
        <w:tabs>
          <w:tab w:val="num" w:pos="1440"/>
        </w:tabs>
        <w:ind w:left="1440" w:hanging="360"/>
      </w:pPr>
      <w:rPr>
        <w:rFonts w:ascii="Wingdings" w:hAnsi="Wingdings" w:hint="default"/>
      </w:rPr>
    </w:lvl>
    <w:lvl w:ilvl="2" w:tplc="E1D8C552" w:tentative="1">
      <w:start w:val="1"/>
      <w:numFmt w:val="bullet"/>
      <w:lvlText w:val=""/>
      <w:lvlJc w:val="left"/>
      <w:pPr>
        <w:tabs>
          <w:tab w:val="num" w:pos="2160"/>
        </w:tabs>
        <w:ind w:left="2160" w:hanging="360"/>
      </w:pPr>
      <w:rPr>
        <w:rFonts w:ascii="Wingdings" w:hAnsi="Wingdings" w:hint="default"/>
      </w:rPr>
    </w:lvl>
    <w:lvl w:ilvl="3" w:tplc="8E0E4150" w:tentative="1">
      <w:start w:val="1"/>
      <w:numFmt w:val="bullet"/>
      <w:lvlText w:val=""/>
      <w:lvlJc w:val="left"/>
      <w:pPr>
        <w:tabs>
          <w:tab w:val="num" w:pos="2880"/>
        </w:tabs>
        <w:ind w:left="2880" w:hanging="360"/>
      </w:pPr>
      <w:rPr>
        <w:rFonts w:ascii="Wingdings" w:hAnsi="Wingdings" w:hint="default"/>
      </w:rPr>
    </w:lvl>
    <w:lvl w:ilvl="4" w:tplc="FFAE5E04" w:tentative="1">
      <w:start w:val="1"/>
      <w:numFmt w:val="bullet"/>
      <w:lvlText w:val=""/>
      <w:lvlJc w:val="left"/>
      <w:pPr>
        <w:tabs>
          <w:tab w:val="num" w:pos="3600"/>
        </w:tabs>
        <w:ind w:left="3600" w:hanging="360"/>
      </w:pPr>
      <w:rPr>
        <w:rFonts w:ascii="Wingdings" w:hAnsi="Wingdings" w:hint="default"/>
      </w:rPr>
    </w:lvl>
    <w:lvl w:ilvl="5" w:tplc="1FDEC950" w:tentative="1">
      <w:start w:val="1"/>
      <w:numFmt w:val="bullet"/>
      <w:lvlText w:val=""/>
      <w:lvlJc w:val="left"/>
      <w:pPr>
        <w:tabs>
          <w:tab w:val="num" w:pos="4320"/>
        </w:tabs>
        <w:ind w:left="4320" w:hanging="360"/>
      </w:pPr>
      <w:rPr>
        <w:rFonts w:ascii="Wingdings" w:hAnsi="Wingdings" w:hint="default"/>
      </w:rPr>
    </w:lvl>
    <w:lvl w:ilvl="6" w:tplc="7A4C2752" w:tentative="1">
      <w:start w:val="1"/>
      <w:numFmt w:val="bullet"/>
      <w:lvlText w:val=""/>
      <w:lvlJc w:val="left"/>
      <w:pPr>
        <w:tabs>
          <w:tab w:val="num" w:pos="5040"/>
        </w:tabs>
        <w:ind w:left="5040" w:hanging="360"/>
      </w:pPr>
      <w:rPr>
        <w:rFonts w:ascii="Wingdings" w:hAnsi="Wingdings" w:hint="default"/>
      </w:rPr>
    </w:lvl>
    <w:lvl w:ilvl="7" w:tplc="F56A8A28" w:tentative="1">
      <w:start w:val="1"/>
      <w:numFmt w:val="bullet"/>
      <w:lvlText w:val=""/>
      <w:lvlJc w:val="left"/>
      <w:pPr>
        <w:tabs>
          <w:tab w:val="num" w:pos="5760"/>
        </w:tabs>
        <w:ind w:left="5760" w:hanging="360"/>
      </w:pPr>
      <w:rPr>
        <w:rFonts w:ascii="Wingdings" w:hAnsi="Wingdings" w:hint="default"/>
      </w:rPr>
    </w:lvl>
    <w:lvl w:ilvl="8" w:tplc="94E6C9D0" w:tentative="1">
      <w:start w:val="1"/>
      <w:numFmt w:val="bullet"/>
      <w:lvlText w:val=""/>
      <w:lvlJc w:val="left"/>
      <w:pPr>
        <w:tabs>
          <w:tab w:val="num" w:pos="6480"/>
        </w:tabs>
        <w:ind w:left="6480" w:hanging="360"/>
      </w:pPr>
      <w:rPr>
        <w:rFonts w:ascii="Wingdings" w:hAnsi="Wingdings" w:hint="default"/>
      </w:rPr>
    </w:lvl>
  </w:abstractNum>
  <w:abstractNum w:abstractNumId="7">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460105"/>
    <w:multiLevelType w:val="hybridMultilevel"/>
    <w:tmpl w:val="B05AE6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C944CAD"/>
    <w:multiLevelType w:val="hybridMultilevel"/>
    <w:tmpl w:val="AAB43136"/>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11">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5">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num>
  <w:num w:numId="2">
    <w:abstractNumId w:val="15"/>
  </w:num>
  <w:num w:numId="3">
    <w:abstractNumId w:val="11"/>
  </w:num>
  <w:num w:numId="4">
    <w:abstractNumId w:val="1"/>
  </w:num>
  <w:num w:numId="5">
    <w:abstractNumId w:val="13"/>
  </w:num>
  <w:num w:numId="6">
    <w:abstractNumId w:val="8"/>
  </w:num>
  <w:num w:numId="7">
    <w:abstractNumId w:val="7"/>
  </w:num>
  <w:num w:numId="8">
    <w:abstractNumId w:val="2"/>
  </w:num>
  <w:num w:numId="9">
    <w:abstractNumId w:val="12"/>
  </w:num>
  <w:num w:numId="10">
    <w:abstractNumId w:val="14"/>
  </w:num>
  <w:num w:numId="11">
    <w:abstractNumId w:val="0"/>
  </w:num>
  <w:num w:numId="12">
    <w:abstractNumId w:val="17"/>
  </w:num>
  <w:num w:numId="13">
    <w:abstractNumId w:val="3"/>
  </w:num>
  <w:num w:numId="14">
    <w:abstractNumId w:val="4"/>
  </w:num>
  <w:num w:numId="15">
    <w:abstractNumId w:val="6"/>
  </w:num>
  <w:num w:numId="16">
    <w:abstractNumId w:val="5"/>
  </w:num>
  <w:num w:numId="17">
    <w:abstractNumId w:val="9"/>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B85"/>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16A"/>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B2"/>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DCE"/>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6E7"/>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0D"/>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5D5"/>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0F27"/>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B7FD2"/>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1A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781"/>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24E"/>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2DE7"/>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993"/>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3B6"/>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1E"/>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0E5A"/>
    <w:rsid w:val="005F15DB"/>
    <w:rsid w:val="005F1752"/>
    <w:rsid w:val="005F1789"/>
    <w:rsid w:val="005F1C33"/>
    <w:rsid w:val="005F1E4D"/>
    <w:rsid w:val="005F202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BFF"/>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54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21A7"/>
    <w:rsid w:val="006922AD"/>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545"/>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4E00"/>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506"/>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11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982"/>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383"/>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171"/>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6D68"/>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6BC2"/>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405"/>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322"/>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D9F"/>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0DA7"/>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8C3"/>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7"/>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2BCD"/>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3BFC"/>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170B"/>
    <w:rsid w:val="00BC212F"/>
    <w:rsid w:val="00BC24B1"/>
    <w:rsid w:val="00BC25F3"/>
    <w:rsid w:val="00BC2984"/>
    <w:rsid w:val="00BC2FDB"/>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6FA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7A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D8"/>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3F3C"/>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14"/>
    <w:rsid w:val="00D76BC3"/>
    <w:rsid w:val="00D76BFE"/>
    <w:rsid w:val="00D76C40"/>
    <w:rsid w:val="00D76E3A"/>
    <w:rsid w:val="00D76F76"/>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2C"/>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C09"/>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7D2"/>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43"/>
    <w:rsid w:val="00EC28D2"/>
    <w:rsid w:val="00EC28F7"/>
    <w:rsid w:val="00EC2916"/>
    <w:rsid w:val="00EC34F5"/>
    <w:rsid w:val="00EC35FA"/>
    <w:rsid w:val="00EC3DA3"/>
    <w:rsid w:val="00EC411F"/>
    <w:rsid w:val="00EC42B7"/>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8BC"/>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3A5"/>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17A4F"/>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68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58C"/>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7B"/>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6D43"/>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uiPriority w:val="59"/>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6791904">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425980">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8535458">
      <w:bodyDiv w:val="1"/>
      <w:marLeft w:val="0"/>
      <w:marRight w:val="0"/>
      <w:marTop w:val="0"/>
      <w:marBottom w:val="0"/>
      <w:divBdr>
        <w:top w:val="none" w:sz="0" w:space="0" w:color="auto"/>
        <w:left w:val="none" w:sz="0" w:space="0" w:color="auto"/>
        <w:bottom w:val="none" w:sz="0" w:space="0" w:color="auto"/>
        <w:right w:val="none" w:sz="0" w:space="0" w:color="auto"/>
      </w:divBdr>
      <w:divsChild>
        <w:div w:id="1212769265">
          <w:marLeft w:val="446"/>
          <w:marRight w:val="0"/>
          <w:marTop w:val="0"/>
          <w:marBottom w:val="0"/>
          <w:divBdr>
            <w:top w:val="none" w:sz="0" w:space="0" w:color="auto"/>
            <w:left w:val="none" w:sz="0" w:space="0" w:color="auto"/>
            <w:bottom w:val="none" w:sz="0" w:space="0" w:color="auto"/>
            <w:right w:val="none" w:sz="0" w:space="0" w:color="auto"/>
          </w:divBdr>
        </w:div>
        <w:div w:id="1464611839">
          <w:marLeft w:val="446"/>
          <w:marRight w:val="0"/>
          <w:marTop w:val="0"/>
          <w:marBottom w:val="0"/>
          <w:divBdr>
            <w:top w:val="none" w:sz="0" w:space="0" w:color="auto"/>
            <w:left w:val="none" w:sz="0" w:space="0" w:color="auto"/>
            <w:bottom w:val="none" w:sz="0" w:space="0" w:color="auto"/>
            <w:right w:val="none" w:sz="0" w:space="0" w:color="auto"/>
          </w:divBdr>
        </w:div>
        <w:div w:id="301927506">
          <w:marLeft w:val="446"/>
          <w:marRight w:val="0"/>
          <w:marTop w:val="0"/>
          <w:marBottom w:val="0"/>
          <w:divBdr>
            <w:top w:val="none" w:sz="0" w:space="0" w:color="auto"/>
            <w:left w:val="none" w:sz="0" w:space="0" w:color="auto"/>
            <w:bottom w:val="none" w:sz="0" w:space="0" w:color="auto"/>
            <w:right w:val="none" w:sz="0" w:space="0" w:color="auto"/>
          </w:divBdr>
        </w:div>
        <w:div w:id="378240483">
          <w:marLeft w:val="446"/>
          <w:marRight w:val="0"/>
          <w:marTop w:val="0"/>
          <w:marBottom w:val="0"/>
          <w:divBdr>
            <w:top w:val="none" w:sz="0" w:space="0" w:color="auto"/>
            <w:left w:val="none" w:sz="0" w:space="0" w:color="auto"/>
            <w:bottom w:val="none" w:sz="0" w:space="0" w:color="auto"/>
            <w:right w:val="none" w:sz="0" w:space="0" w:color="auto"/>
          </w:divBdr>
        </w:div>
      </w:divsChild>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46503">
      <w:bodyDiv w:val="1"/>
      <w:marLeft w:val="0"/>
      <w:marRight w:val="0"/>
      <w:marTop w:val="0"/>
      <w:marBottom w:val="0"/>
      <w:divBdr>
        <w:top w:val="none" w:sz="0" w:space="0" w:color="auto"/>
        <w:left w:val="none" w:sz="0" w:space="0" w:color="auto"/>
        <w:bottom w:val="none" w:sz="0" w:space="0" w:color="auto"/>
        <w:right w:val="none" w:sz="0" w:space="0" w:color="auto"/>
      </w:divBdr>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6495137">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985">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15028">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021329">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5797999">
      <w:bodyDiv w:val="1"/>
      <w:marLeft w:val="0"/>
      <w:marRight w:val="0"/>
      <w:marTop w:val="0"/>
      <w:marBottom w:val="0"/>
      <w:divBdr>
        <w:top w:val="none" w:sz="0" w:space="0" w:color="auto"/>
        <w:left w:val="none" w:sz="0" w:space="0" w:color="auto"/>
        <w:bottom w:val="none" w:sz="0" w:space="0" w:color="auto"/>
        <w:right w:val="none" w:sz="0" w:space="0" w:color="auto"/>
      </w:divBdr>
      <w:divsChild>
        <w:div w:id="1113866726">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575507">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2691733">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7375448">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340140">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032997">
      <w:bodyDiv w:val="1"/>
      <w:marLeft w:val="0"/>
      <w:marRight w:val="0"/>
      <w:marTop w:val="0"/>
      <w:marBottom w:val="0"/>
      <w:divBdr>
        <w:top w:val="none" w:sz="0" w:space="0" w:color="auto"/>
        <w:left w:val="none" w:sz="0" w:space="0" w:color="auto"/>
        <w:bottom w:val="none" w:sz="0" w:space="0" w:color="auto"/>
        <w:right w:val="none" w:sz="0" w:space="0" w:color="auto"/>
      </w:divBdr>
      <w:divsChild>
        <w:div w:id="1402829311">
          <w:marLeft w:val="1166"/>
          <w:marRight w:val="0"/>
          <w:marTop w:val="0"/>
          <w:marBottom w:val="0"/>
          <w:divBdr>
            <w:top w:val="none" w:sz="0" w:space="0" w:color="auto"/>
            <w:left w:val="none" w:sz="0" w:space="0" w:color="auto"/>
            <w:bottom w:val="none" w:sz="0" w:space="0" w:color="auto"/>
            <w:right w:val="none" w:sz="0" w:space="0" w:color="auto"/>
          </w:divBdr>
        </w:div>
        <w:div w:id="456917442">
          <w:marLeft w:val="1166"/>
          <w:marRight w:val="0"/>
          <w:marTop w:val="0"/>
          <w:marBottom w:val="0"/>
          <w:divBdr>
            <w:top w:val="none" w:sz="0" w:space="0" w:color="auto"/>
            <w:left w:val="none" w:sz="0" w:space="0" w:color="auto"/>
            <w:bottom w:val="none" w:sz="0" w:space="0" w:color="auto"/>
            <w:right w:val="none" w:sz="0" w:space="0" w:color="auto"/>
          </w:divBdr>
        </w:div>
        <w:div w:id="2974367">
          <w:marLeft w:val="1166"/>
          <w:marRight w:val="0"/>
          <w:marTop w:val="0"/>
          <w:marBottom w:val="0"/>
          <w:divBdr>
            <w:top w:val="none" w:sz="0" w:space="0" w:color="auto"/>
            <w:left w:val="none" w:sz="0" w:space="0" w:color="auto"/>
            <w:bottom w:val="none" w:sz="0" w:space="0" w:color="auto"/>
            <w:right w:val="none" w:sz="0" w:space="0" w:color="auto"/>
          </w:divBdr>
        </w:div>
        <w:div w:id="1390493521">
          <w:marLeft w:val="1166"/>
          <w:marRight w:val="0"/>
          <w:marTop w:val="0"/>
          <w:marBottom w:val="0"/>
          <w:divBdr>
            <w:top w:val="none" w:sz="0" w:space="0" w:color="auto"/>
            <w:left w:val="none" w:sz="0" w:space="0" w:color="auto"/>
            <w:bottom w:val="none" w:sz="0" w:space="0" w:color="auto"/>
            <w:right w:val="none" w:sz="0" w:space="0" w:color="auto"/>
          </w:divBdr>
        </w:div>
      </w:divsChild>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482024">
      <w:bodyDiv w:val="1"/>
      <w:marLeft w:val="0"/>
      <w:marRight w:val="0"/>
      <w:marTop w:val="0"/>
      <w:marBottom w:val="0"/>
      <w:divBdr>
        <w:top w:val="none" w:sz="0" w:space="0" w:color="auto"/>
        <w:left w:val="none" w:sz="0" w:space="0" w:color="auto"/>
        <w:bottom w:val="none" w:sz="0" w:space="0" w:color="auto"/>
        <w:right w:val="none" w:sz="0" w:space="0" w:color="auto"/>
      </w:divBdr>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0396814">
      <w:bodyDiv w:val="1"/>
      <w:marLeft w:val="0"/>
      <w:marRight w:val="0"/>
      <w:marTop w:val="0"/>
      <w:marBottom w:val="0"/>
      <w:divBdr>
        <w:top w:val="none" w:sz="0" w:space="0" w:color="auto"/>
        <w:left w:val="none" w:sz="0" w:space="0" w:color="auto"/>
        <w:bottom w:val="none" w:sz="0" w:space="0" w:color="auto"/>
        <w:right w:val="none" w:sz="0" w:space="0" w:color="auto"/>
      </w:divBdr>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798647857">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137036">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688175">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3825591">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505159">
      <w:bodyDiv w:val="1"/>
      <w:marLeft w:val="0"/>
      <w:marRight w:val="0"/>
      <w:marTop w:val="0"/>
      <w:marBottom w:val="0"/>
      <w:divBdr>
        <w:top w:val="none" w:sz="0" w:space="0" w:color="auto"/>
        <w:left w:val="none" w:sz="0" w:space="0" w:color="auto"/>
        <w:bottom w:val="none" w:sz="0" w:space="0" w:color="auto"/>
        <w:right w:val="none" w:sz="0" w:space="0" w:color="auto"/>
      </w:divBdr>
      <w:divsChild>
        <w:div w:id="1781559139">
          <w:marLeft w:val="806"/>
          <w:marRight w:val="0"/>
          <w:marTop w:val="0"/>
          <w:marBottom w:val="0"/>
          <w:divBdr>
            <w:top w:val="none" w:sz="0" w:space="0" w:color="auto"/>
            <w:left w:val="none" w:sz="0" w:space="0" w:color="auto"/>
            <w:bottom w:val="none" w:sz="0" w:space="0" w:color="auto"/>
            <w:right w:val="none" w:sz="0" w:space="0" w:color="auto"/>
          </w:divBdr>
        </w:div>
        <w:div w:id="856819490">
          <w:marLeft w:val="806"/>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083721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28569">
      <w:bodyDiv w:val="1"/>
      <w:marLeft w:val="0"/>
      <w:marRight w:val="0"/>
      <w:marTop w:val="0"/>
      <w:marBottom w:val="0"/>
      <w:divBdr>
        <w:top w:val="none" w:sz="0" w:space="0" w:color="auto"/>
        <w:left w:val="none" w:sz="0" w:space="0" w:color="auto"/>
        <w:bottom w:val="none" w:sz="0" w:space="0" w:color="auto"/>
        <w:right w:val="none" w:sz="0" w:space="0" w:color="auto"/>
      </w:divBdr>
      <w:divsChild>
        <w:div w:id="875898293">
          <w:marLeft w:val="547"/>
          <w:marRight w:val="0"/>
          <w:marTop w:val="0"/>
          <w:marBottom w:val="0"/>
          <w:divBdr>
            <w:top w:val="none" w:sz="0" w:space="0" w:color="auto"/>
            <w:left w:val="none" w:sz="0" w:space="0" w:color="auto"/>
            <w:bottom w:val="none" w:sz="0" w:space="0" w:color="auto"/>
            <w:right w:val="none" w:sz="0" w:space="0" w:color="auto"/>
          </w:divBdr>
        </w:div>
        <w:div w:id="1971353133">
          <w:marLeft w:val="547"/>
          <w:marRight w:val="0"/>
          <w:marTop w:val="0"/>
          <w:marBottom w:val="0"/>
          <w:divBdr>
            <w:top w:val="none" w:sz="0" w:space="0" w:color="auto"/>
            <w:left w:val="none" w:sz="0" w:space="0" w:color="auto"/>
            <w:bottom w:val="none" w:sz="0" w:space="0" w:color="auto"/>
            <w:right w:val="none" w:sz="0" w:space="0" w:color="auto"/>
          </w:divBdr>
        </w:div>
      </w:divsChild>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7810364">
      <w:bodyDiv w:val="1"/>
      <w:marLeft w:val="0"/>
      <w:marRight w:val="0"/>
      <w:marTop w:val="0"/>
      <w:marBottom w:val="0"/>
      <w:divBdr>
        <w:top w:val="none" w:sz="0" w:space="0" w:color="auto"/>
        <w:left w:val="none" w:sz="0" w:space="0" w:color="auto"/>
        <w:bottom w:val="none" w:sz="0" w:space="0" w:color="auto"/>
        <w:right w:val="none" w:sz="0" w:space="0" w:color="auto"/>
      </w:divBdr>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100238">
      <w:bodyDiv w:val="1"/>
      <w:marLeft w:val="0"/>
      <w:marRight w:val="0"/>
      <w:marTop w:val="0"/>
      <w:marBottom w:val="0"/>
      <w:divBdr>
        <w:top w:val="none" w:sz="0" w:space="0" w:color="auto"/>
        <w:left w:val="none" w:sz="0" w:space="0" w:color="auto"/>
        <w:bottom w:val="none" w:sz="0" w:space="0" w:color="auto"/>
        <w:right w:val="none" w:sz="0" w:space="0" w:color="auto"/>
      </w:divBdr>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0883635">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6972583">
      <w:bodyDiv w:val="1"/>
      <w:marLeft w:val="0"/>
      <w:marRight w:val="0"/>
      <w:marTop w:val="0"/>
      <w:marBottom w:val="0"/>
      <w:divBdr>
        <w:top w:val="none" w:sz="0" w:space="0" w:color="auto"/>
        <w:left w:val="none" w:sz="0" w:space="0" w:color="auto"/>
        <w:bottom w:val="none" w:sz="0" w:space="0" w:color="auto"/>
        <w:right w:val="none" w:sz="0" w:space="0" w:color="auto"/>
      </w:divBdr>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939890">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1584669">
      <w:bodyDiv w:val="1"/>
      <w:marLeft w:val="0"/>
      <w:marRight w:val="0"/>
      <w:marTop w:val="0"/>
      <w:marBottom w:val="0"/>
      <w:divBdr>
        <w:top w:val="none" w:sz="0" w:space="0" w:color="auto"/>
        <w:left w:val="none" w:sz="0" w:space="0" w:color="auto"/>
        <w:bottom w:val="none" w:sz="0" w:space="0" w:color="auto"/>
        <w:right w:val="none" w:sz="0" w:space="0" w:color="auto"/>
      </w:divBdr>
      <w:divsChild>
        <w:div w:id="79260797">
          <w:marLeft w:val="547"/>
          <w:marRight w:val="0"/>
          <w:marTop w:val="0"/>
          <w:marBottom w:val="0"/>
          <w:divBdr>
            <w:top w:val="none" w:sz="0" w:space="0" w:color="auto"/>
            <w:left w:val="none" w:sz="0" w:space="0" w:color="auto"/>
            <w:bottom w:val="none" w:sz="0" w:space="0" w:color="auto"/>
            <w:right w:val="none" w:sz="0" w:space="0" w:color="auto"/>
          </w:divBdr>
        </w:div>
        <w:div w:id="1054349633">
          <w:marLeft w:val="547"/>
          <w:marRight w:val="0"/>
          <w:marTop w:val="0"/>
          <w:marBottom w:val="0"/>
          <w:divBdr>
            <w:top w:val="none" w:sz="0" w:space="0" w:color="auto"/>
            <w:left w:val="none" w:sz="0" w:space="0" w:color="auto"/>
            <w:bottom w:val="none" w:sz="0" w:space="0" w:color="auto"/>
            <w:right w:val="none" w:sz="0" w:space="0" w:color="auto"/>
          </w:divBdr>
        </w:div>
        <w:div w:id="1460494281">
          <w:marLeft w:val="547"/>
          <w:marRight w:val="0"/>
          <w:marTop w:val="0"/>
          <w:marBottom w:val="0"/>
          <w:divBdr>
            <w:top w:val="none" w:sz="0" w:space="0" w:color="auto"/>
            <w:left w:val="none" w:sz="0" w:space="0" w:color="auto"/>
            <w:bottom w:val="none" w:sz="0" w:space="0" w:color="auto"/>
            <w:right w:val="none" w:sz="0" w:space="0" w:color="auto"/>
          </w:divBdr>
        </w:div>
        <w:div w:id="1332831473">
          <w:marLeft w:val="547"/>
          <w:marRight w:val="0"/>
          <w:marTop w:val="0"/>
          <w:marBottom w:val="0"/>
          <w:divBdr>
            <w:top w:val="none" w:sz="0" w:space="0" w:color="auto"/>
            <w:left w:val="none" w:sz="0" w:space="0" w:color="auto"/>
            <w:bottom w:val="none" w:sz="0" w:space="0" w:color="auto"/>
            <w:right w:val="none" w:sz="0" w:space="0" w:color="auto"/>
          </w:divBdr>
        </w:div>
        <w:div w:id="1807816026">
          <w:marLeft w:val="547"/>
          <w:marRight w:val="0"/>
          <w:marTop w:val="0"/>
          <w:marBottom w:val="0"/>
          <w:divBdr>
            <w:top w:val="none" w:sz="0" w:space="0" w:color="auto"/>
            <w:left w:val="none" w:sz="0" w:space="0" w:color="auto"/>
            <w:bottom w:val="none" w:sz="0" w:space="0" w:color="auto"/>
            <w:right w:val="none" w:sz="0" w:space="0" w:color="auto"/>
          </w:divBdr>
        </w:div>
        <w:div w:id="555553574">
          <w:marLeft w:val="547"/>
          <w:marRight w:val="0"/>
          <w:marTop w:val="0"/>
          <w:marBottom w:val="0"/>
          <w:divBdr>
            <w:top w:val="none" w:sz="0" w:space="0" w:color="auto"/>
            <w:left w:val="none" w:sz="0" w:space="0" w:color="auto"/>
            <w:bottom w:val="none" w:sz="0" w:space="0" w:color="auto"/>
            <w:right w:val="none" w:sz="0" w:space="0" w:color="auto"/>
          </w:divBdr>
        </w:div>
        <w:div w:id="2080516128">
          <w:marLeft w:val="547"/>
          <w:marRight w:val="0"/>
          <w:marTop w:val="0"/>
          <w:marBottom w:val="0"/>
          <w:divBdr>
            <w:top w:val="none" w:sz="0" w:space="0" w:color="auto"/>
            <w:left w:val="none" w:sz="0" w:space="0" w:color="auto"/>
            <w:bottom w:val="none" w:sz="0" w:space="0" w:color="auto"/>
            <w:right w:val="none" w:sz="0" w:space="0" w:color="auto"/>
          </w:divBdr>
        </w:div>
        <w:div w:id="1536388130">
          <w:marLeft w:val="547"/>
          <w:marRight w:val="0"/>
          <w:marTop w:val="0"/>
          <w:marBottom w:val="0"/>
          <w:divBdr>
            <w:top w:val="none" w:sz="0" w:space="0" w:color="auto"/>
            <w:left w:val="none" w:sz="0" w:space="0" w:color="auto"/>
            <w:bottom w:val="none" w:sz="0" w:space="0" w:color="auto"/>
            <w:right w:val="none" w:sz="0" w:space="0" w:color="auto"/>
          </w:divBdr>
        </w:div>
        <w:div w:id="336932100">
          <w:marLeft w:val="547"/>
          <w:marRight w:val="0"/>
          <w:marTop w:val="0"/>
          <w:marBottom w:val="0"/>
          <w:divBdr>
            <w:top w:val="none" w:sz="0" w:space="0" w:color="auto"/>
            <w:left w:val="none" w:sz="0" w:space="0" w:color="auto"/>
            <w:bottom w:val="none" w:sz="0" w:space="0" w:color="auto"/>
            <w:right w:val="none" w:sz="0" w:space="0" w:color="auto"/>
          </w:divBdr>
        </w:div>
        <w:div w:id="1722901313">
          <w:marLeft w:val="547"/>
          <w:marRight w:val="0"/>
          <w:marTop w:val="0"/>
          <w:marBottom w:val="0"/>
          <w:divBdr>
            <w:top w:val="none" w:sz="0" w:space="0" w:color="auto"/>
            <w:left w:val="none" w:sz="0" w:space="0" w:color="auto"/>
            <w:bottom w:val="none" w:sz="0" w:space="0" w:color="auto"/>
            <w:right w:val="none" w:sz="0" w:space="0" w:color="auto"/>
          </w:divBdr>
        </w:div>
      </w:divsChild>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2971716">
      <w:bodyDiv w:val="1"/>
      <w:marLeft w:val="0"/>
      <w:marRight w:val="0"/>
      <w:marTop w:val="0"/>
      <w:marBottom w:val="0"/>
      <w:divBdr>
        <w:top w:val="none" w:sz="0" w:space="0" w:color="auto"/>
        <w:left w:val="none" w:sz="0" w:space="0" w:color="auto"/>
        <w:bottom w:val="none" w:sz="0" w:space="0" w:color="auto"/>
        <w:right w:val="none" w:sz="0" w:space="0" w:color="auto"/>
      </w:divBdr>
      <w:divsChild>
        <w:div w:id="1690258455">
          <w:marLeft w:val="547"/>
          <w:marRight w:val="0"/>
          <w:marTop w:val="0"/>
          <w:marBottom w:val="0"/>
          <w:divBdr>
            <w:top w:val="none" w:sz="0" w:space="0" w:color="auto"/>
            <w:left w:val="none" w:sz="0" w:space="0" w:color="auto"/>
            <w:bottom w:val="none" w:sz="0" w:space="0" w:color="auto"/>
            <w:right w:val="none" w:sz="0" w:space="0" w:color="auto"/>
          </w:divBdr>
        </w:div>
        <w:div w:id="1902212796">
          <w:marLeft w:val="547"/>
          <w:marRight w:val="0"/>
          <w:marTop w:val="0"/>
          <w:marBottom w:val="0"/>
          <w:divBdr>
            <w:top w:val="none" w:sz="0" w:space="0" w:color="auto"/>
            <w:left w:val="none" w:sz="0" w:space="0" w:color="auto"/>
            <w:bottom w:val="none" w:sz="0" w:space="0" w:color="auto"/>
            <w:right w:val="none" w:sz="0" w:space="0" w:color="auto"/>
          </w:divBdr>
        </w:div>
        <w:div w:id="1130442757">
          <w:marLeft w:val="547"/>
          <w:marRight w:val="0"/>
          <w:marTop w:val="0"/>
          <w:marBottom w:val="0"/>
          <w:divBdr>
            <w:top w:val="none" w:sz="0" w:space="0" w:color="auto"/>
            <w:left w:val="none" w:sz="0" w:space="0" w:color="auto"/>
            <w:bottom w:val="none" w:sz="0" w:space="0" w:color="auto"/>
            <w:right w:val="none" w:sz="0" w:space="0" w:color="auto"/>
          </w:divBdr>
        </w:div>
        <w:div w:id="768476558">
          <w:marLeft w:val="547"/>
          <w:marRight w:val="0"/>
          <w:marTop w:val="0"/>
          <w:marBottom w:val="0"/>
          <w:divBdr>
            <w:top w:val="none" w:sz="0" w:space="0" w:color="auto"/>
            <w:left w:val="none" w:sz="0" w:space="0" w:color="auto"/>
            <w:bottom w:val="none" w:sz="0" w:space="0" w:color="auto"/>
            <w:right w:val="none" w:sz="0" w:space="0" w:color="auto"/>
          </w:divBdr>
        </w:div>
        <w:div w:id="1766682530">
          <w:marLeft w:val="547"/>
          <w:marRight w:val="0"/>
          <w:marTop w:val="0"/>
          <w:marBottom w:val="0"/>
          <w:divBdr>
            <w:top w:val="none" w:sz="0" w:space="0" w:color="auto"/>
            <w:left w:val="none" w:sz="0" w:space="0" w:color="auto"/>
            <w:bottom w:val="none" w:sz="0" w:space="0" w:color="auto"/>
            <w:right w:val="none" w:sz="0" w:space="0" w:color="auto"/>
          </w:divBdr>
        </w:div>
        <w:div w:id="787046043">
          <w:marLeft w:val="547"/>
          <w:marRight w:val="0"/>
          <w:marTop w:val="0"/>
          <w:marBottom w:val="0"/>
          <w:divBdr>
            <w:top w:val="none" w:sz="0" w:space="0" w:color="auto"/>
            <w:left w:val="none" w:sz="0" w:space="0" w:color="auto"/>
            <w:bottom w:val="none" w:sz="0" w:space="0" w:color="auto"/>
            <w:right w:val="none" w:sz="0" w:space="0" w:color="auto"/>
          </w:divBdr>
        </w:div>
        <w:div w:id="418907410">
          <w:marLeft w:val="547"/>
          <w:marRight w:val="0"/>
          <w:marTop w:val="0"/>
          <w:marBottom w:val="0"/>
          <w:divBdr>
            <w:top w:val="none" w:sz="0" w:space="0" w:color="auto"/>
            <w:left w:val="none" w:sz="0" w:space="0" w:color="auto"/>
            <w:bottom w:val="none" w:sz="0" w:space="0" w:color="auto"/>
            <w:right w:val="none" w:sz="0" w:space="0" w:color="auto"/>
          </w:divBdr>
        </w:div>
        <w:div w:id="802774610">
          <w:marLeft w:val="547"/>
          <w:marRight w:val="0"/>
          <w:marTop w:val="0"/>
          <w:marBottom w:val="0"/>
          <w:divBdr>
            <w:top w:val="none" w:sz="0" w:space="0" w:color="auto"/>
            <w:left w:val="none" w:sz="0" w:space="0" w:color="auto"/>
            <w:bottom w:val="none" w:sz="0" w:space="0" w:color="auto"/>
            <w:right w:val="none" w:sz="0" w:space="0" w:color="auto"/>
          </w:divBdr>
        </w:div>
        <w:div w:id="1579318426">
          <w:marLeft w:val="547"/>
          <w:marRight w:val="0"/>
          <w:marTop w:val="0"/>
          <w:marBottom w:val="0"/>
          <w:divBdr>
            <w:top w:val="none" w:sz="0" w:space="0" w:color="auto"/>
            <w:left w:val="none" w:sz="0" w:space="0" w:color="auto"/>
            <w:bottom w:val="none" w:sz="0" w:space="0" w:color="auto"/>
            <w:right w:val="none" w:sz="0" w:space="0" w:color="auto"/>
          </w:divBdr>
        </w:div>
        <w:div w:id="1268393867">
          <w:marLeft w:val="547"/>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018045">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4500">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5431150">
      <w:bodyDiv w:val="1"/>
      <w:marLeft w:val="0"/>
      <w:marRight w:val="0"/>
      <w:marTop w:val="0"/>
      <w:marBottom w:val="0"/>
      <w:divBdr>
        <w:top w:val="none" w:sz="0" w:space="0" w:color="auto"/>
        <w:left w:val="none" w:sz="0" w:space="0" w:color="auto"/>
        <w:bottom w:val="none" w:sz="0" w:space="0" w:color="auto"/>
        <w:right w:val="none" w:sz="0" w:space="0" w:color="auto"/>
      </w:divBdr>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180601">
      <w:bodyDiv w:val="1"/>
      <w:marLeft w:val="0"/>
      <w:marRight w:val="0"/>
      <w:marTop w:val="0"/>
      <w:marBottom w:val="0"/>
      <w:divBdr>
        <w:top w:val="none" w:sz="0" w:space="0" w:color="auto"/>
        <w:left w:val="none" w:sz="0" w:space="0" w:color="auto"/>
        <w:bottom w:val="none" w:sz="0" w:space="0" w:color="auto"/>
        <w:right w:val="none" w:sz="0" w:space="0" w:color="auto"/>
      </w:divBdr>
      <w:divsChild>
        <w:div w:id="1685666944">
          <w:marLeft w:val="806"/>
          <w:marRight w:val="0"/>
          <w:marTop w:val="0"/>
          <w:marBottom w:val="0"/>
          <w:divBdr>
            <w:top w:val="none" w:sz="0" w:space="0" w:color="auto"/>
            <w:left w:val="none" w:sz="0" w:space="0" w:color="auto"/>
            <w:bottom w:val="none" w:sz="0" w:space="0" w:color="auto"/>
            <w:right w:val="none" w:sz="0" w:space="0" w:color="auto"/>
          </w:divBdr>
        </w:div>
        <w:div w:id="430710913">
          <w:marLeft w:val="1166"/>
          <w:marRight w:val="0"/>
          <w:marTop w:val="0"/>
          <w:marBottom w:val="0"/>
          <w:divBdr>
            <w:top w:val="none" w:sz="0" w:space="0" w:color="auto"/>
            <w:left w:val="none" w:sz="0" w:space="0" w:color="auto"/>
            <w:bottom w:val="none" w:sz="0" w:space="0" w:color="auto"/>
            <w:right w:val="none" w:sz="0" w:space="0" w:color="auto"/>
          </w:divBdr>
        </w:div>
        <w:div w:id="1144199744">
          <w:marLeft w:val="1166"/>
          <w:marRight w:val="0"/>
          <w:marTop w:val="0"/>
          <w:marBottom w:val="0"/>
          <w:divBdr>
            <w:top w:val="none" w:sz="0" w:space="0" w:color="auto"/>
            <w:left w:val="none" w:sz="0" w:space="0" w:color="auto"/>
            <w:bottom w:val="none" w:sz="0" w:space="0" w:color="auto"/>
            <w:right w:val="none" w:sz="0" w:space="0" w:color="auto"/>
          </w:divBdr>
        </w:div>
        <w:div w:id="1404403414">
          <w:marLeft w:val="1166"/>
          <w:marRight w:val="0"/>
          <w:marTop w:val="0"/>
          <w:marBottom w:val="0"/>
          <w:divBdr>
            <w:top w:val="none" w:sz="0" w:space="0" w:color="auto"/>
            <w:left w:val="none" w:sz="0" w:space="0" w:color="auto"/>
            <w:bottom w:val="none" w:sz="0" w:space="0" w:color="auto"/>
            <w:right w:val="none" w:sz="0" w:space="0" w:color="auto"/>
          </w:divBdr>
        </w:div>
        <w:div w:id="2064406584">
          <w:marLeft w:val="116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D482-F9FE-4D27-A1CA-9BB73EB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2022-06-02T21:33:00Z</cp:lastPrinted>
  <dcterms:created xsi:type="dcterms:W3CDTF">2022-09-19T17:55:00Z</dcterms:created>
  <dcterms:modified xsi:type="dcterms:W3CDTF">2022-09-19T17:55:00Z</dcterms:modified>
</cp:coreProperties>
</file>