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F" w:rsidRPr="00AC68D2" w:rsidRDefault="008B65A4" w:rsidP="00AC68D2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837" w:rsidRPr="00CA347E" w:rsidRDefault="00CA347E" w:rsidP="00CA347E">
      <w:pPr>
        <w:spacing w:after="0"/>
        <w:jc w:val="right"/>
        <w:rPr>
          <w:sz w:val="20"/>
          <w:szCs w:val="20"/>
        </w:rPr>
      </w:pPr>
      <w:r w:rsidRPr="00CA347E">
        <w:rPr>
          <w:sz w:val="20"/>
          <w:szCs w:val="20"/>
        </w:rPr>
        <w:t>UAIP/OIR/12/02/2018</w:t>
      </w:r>
    </w:p>
    <w:p w:rsidR="00CA347E" w:rsidRPr="00AC68D2" w:rsidRDefault="006875F0" w:rsidP="006875F0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Resolución</w:t>
      </w:r>
      <w:r w:rsidR="00CA347E"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de</w:t>
      </w:r>
      <w:r w:rsidR="00CA347E"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 w:rsidR="00CA347E"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sz w:val="24"/>
          <w:szCs w:val="24"/>
        </w:rPr>
        <w:t>de</w:t>
      </w:r>
      <w:r w:rsidR="00CA347E"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 w:rsidR="00CA347E"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6875F0" w:rsidRPr="000D2186" w:rsidRDefault="00CA347E" w:rsidP="006875F0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0D2186">
        <w:rPr>
          <w:rFonts w:asciiTheme="minorHAnsi" w:eastAsia="Arial" w:hAnsiTheme="minorHAnsi" w:cs="Arial"/>
          <w:color w:val="000000" w:themeColor="text1"/>
          <w:w w:val="76"/>
          <w:sz w:val="22"/>
          <w:szCs w:val="22"/>
        </w:rPr>
        <w:t xml:space="preserve">San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w w:val="7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Salvador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33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36"/>
          <w:sz w:val="22"/>
          <w:szCs w:val="22"/>
        </w:rPr>
        <w:t xml:space="preserve"> </w:t>
      </w:r>
      <w:r w:rsidR="00AC68D2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diez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horas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="00AC68D2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cinco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nutos  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del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día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 w:val="22"/>
          <w:szCs w:val="22"/>
        </w:rPr>
        <w:t xml:space="preserve"> </w:t>
      </w:r>
      <w:r w:rsidR="00AC68D2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12 de febrero de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los </w:t>
      </w:r>
      <w:r w:rsidRPr="000D2186">
        <w:rPr>
          <w:rFonts w:asciiTheme="minorHAnsi" w:eastAsia="Arial" w:hAnsiTheme="minorHAnsi" w:cs="Arial"/>
          <w:color w:val="000000" w:themeColor="text1"/>
          <w:w w:val="107"/>
          <w:sz w:val="22"/>
          <w:szCs w:val="22"/>
        </w:rPr>
        <w:t>corrientes</w:t>
      </w:r>
      <w:r w:rsidRPr="000D2186">
        <w:rPr>
          <w:rFonts w:asciiTheme="minorHAnsi" w:eastAsia="Arial" w:hAnsiTheme="minorHAnsi" w:cs="Arial"/>
          <w:color w:val="000000" w:themeColor="text1"/>
          <w:w w:val="58"/>
          <w:sz w:val="22"/>
          <w:szCs w:val="22"/>
        </w:rPr>
        <w:t xml:space="preserve">,  </w:t>
      </w:r>
      <w:r w:rsidRPr="000D2186">
        <w:rPr>
          <w:rFonts w:asciiTheme="minorHAnsi" w:eastAsia="Arial" w:hAnsiTheme="minorHAnsi" w:cs="Arial"/>
          <w:color w:val="000000" w:themeColor="text1"/>
          <w:spacing w:val="25"/>
          <w:w w:val="5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Consejo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 w:val="22"/>
          <w:szCs w:val="22"/>
        </w:rPr>
        <w:t xml:space="preserve">Superior  </w:t>
      </w:r>
      <w:r w:rsidRPr="000D2186">
        <w:rPr>
          <w:rFonts w:asciiTheme="minorHAnsi" w:eastAsia="Arial" w:hAnsiTheme="minorHAnsi" w:cs="Arial"/>
          <w:color w:val="000000" w:themeColor="text1"/>
          <w:spacing w:val="39"/>
          <w:w w:val="9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Salud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Pública,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haber 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recibido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solicitud 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información 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Nº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120/2018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Oficina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3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Respuesta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2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que  </w:t>
      </w:r>
      <w:r w:rsidRPr="000D2186">
        <w:rPr>
          <w:rFonts w:asciiTheme="minorHAnsi" w:eastAsia="Arial" w:hAnsiTheme="minorHAnsi" w:cs="Arial"/>
          <w:color w:val="000000" w:themeColor="text1"/>
          <w:spacing w:val="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solicita 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94"/>
          <w:sz w:val="22"/>
          <w:szCs w:val="22"/>
        </w:rPr>
        <w:t>gu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ente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: “</w:t>
      </w:r>
      <w:r w:rsidRPr="000D2186">
        <w:rPr>
          <w:rFonts w:asciiTheme="minorHAnsi" w:eastAsia="Arial" w:hAnsiTheme="minorHAnsi" w:cs="Arial"/>
          <w:color w:val="000000" w:themeColor="text1"/>
          <w:spacing w:val="50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La presente solicitud esta enmarcada en la derogatoria del Literal ñ, del Articulo 24 del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Codigo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de Salud, que reza “ Se consideran actividades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tecnicas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y auxiliares de la Profesion Medica, las siguientes: (…) ñ) Licenciatura en Trabajo Social; y Trabajo Social; y,”, dicha reforma se plasma en el Decreto Legislativo No. 816. La ratificación del mencionado decreto ciertamente tiene consecuencias legales para la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profesion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de Trabajo Social, ya que sobre el </w:t>
      </w:r>
      <w:proofErr w:type="spellStart"/>
      <w:proofErr w:type="gram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articulo</w:t>
      </w:r>
      <w:proofErr w:type="spellEnd"/>
      <w:proofErr w:type="gram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derogado se respaldaba para pertenecer a la Junta de Vigilancia amparada por el Consejo Superior de Salud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Publica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.</w:t>
      </w:r>
      <w:r w:rsidR="006875F0"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II. Solicito,1- Conocer si se continua y se continuará emitiendo carnet y sello a los profesionales que lo soliciten a la respectiva Junta de Vigilancia del Consejo Superior de Salud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Publica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a la que estaba adscrita la profesión de Trabajo Social. </w:t>
      </w:r>
    </w:p>
    <w:p w:rsidR="00A26837" w:rsidRPr="000D2186" w:rsidRDefault="00CA347E" w:rsidP="00D15EDA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Si la respuesta a la primera solicitud es positiva </w:t>
      </w:r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br/>
        <w:t xml:space="preserve">2- Conocer sobre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que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base legal o decisión administrativa, de ahora en adelante se estará entregando el carnet y sello de Junta de Vigilancia de la Profesión </w:t>
      </w:r>
      <w:proofErr w:type="spellStart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>Medica</w:t>
      </w:r>
      <w:proofErr w:type="spellEnd"/>
      <w:r w:rsidRPr="000D218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a los profesionales de Trabajo Social; igualmente solicito se me anexe las copias que respalden dicha decisión, sean de carácter jurídico o administrativo, es decir: circular, memorándum o acta.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".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Y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4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verificar que la información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encuentra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entre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acepciones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-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19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literal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>“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g"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24</w:t>
      </w:r>
      <w:r w:rsidRPr="000D2186">
        <w:rPr>
          <w:rFonts w:asciiTheme="minorHAnsi" w:eastAsia="Arial" w:hAnsiTheme="minorHAnsi" w:cs="Arial"/>
          <w:color w:val="000000" w:themeColor="text1"/>
          <w:spacing w:val="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="006875F0"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la LAIP y que el fundamento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respuesta a la solicitud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1</w:t>
      </w:r>
      <w:r w:rsidR="006875F0"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-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1"/>
          <w:w w:val="79"/>
          <w:sz w:val="22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con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base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a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"/>
          <w:w w:val="75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atribuciones </w:t>
      </w:r>
      <w:r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co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cedidas  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6"/>
          <w:sz w:val="22"/>
          <w:szCs w:val="22"/>
        </w:rPr>
        <w:t>literales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: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d)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,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</w:t>
      </w:r>
      <w:r w:rsidRPr="000D2186">
        <w:rPr>
          <w:rFonts w:asciiTheme="minorHAnsi" w:eastAsia="Arial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i),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j)  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del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  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50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Ley</w:t>
      </w:r>
      <w:r w:rsidRPr="000D2186">
        <w:rPr>
          <w:rFonts w:asciiTheme="minorHAnsi" w:eastAsia="Arial" w:hAnsiTheme="minorHAnsi" w:cs="Arial"/>
          <w:color w:val="000000" w:themeColor="text1"/>
          <w:spacing w:val="-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Acceso a la in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formación Pública,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>corresponde a la s</w:t>
      </w:r>
      <w:r w:rsidR="006875F0" w:rsidRPr="000D2186">
        <w:rPr>
          <w:rFonts w:asciiTheme="minorHAnsi" w:eastAsia="Arial" w:hAnsiTheme="minorHAnsi" w:cs="Arial"/>
          <w:color w:val="000000" w:themeColor="text1"/>
          <w:spacing w:val="32"/>
          <w:sz w:val="22"/>
          <w:szCs w:val="22"/>
        </w:rPr>
        <w:t>uscrita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4"/>
          <w:sz w:val="22"/>
          <w:szCs w:val="22"/>
        </w:rPr>
        <w:t>re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al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z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 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los 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trám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tes     </w:t>
      </w:r>
      <w:r w:rsidRPr="000D2186">
        <w:rPr>
          <w:rFonts w:asciiTheme="minorHAnsi" w:eastAsia="Arial" w:hAnsiTheme="minorHAnsi" w:cs="Arial"/>
          <w:color w:val="000000" w:themeColor="text1"/>
          <w:spacing w:val="-26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nece</w:t>
      </w:r>
      <w:r w:rsidR="006875F0"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arios para la localización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y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>entrega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información solicitada por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particulares y resolver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sobre las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solicitudes 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que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4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sometan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>a</w:t>
      </w:r>
      <w:r w:rsidR="006875F0"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"/>
          <w:w w:val="79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consentimiento. 2. El acceso a la información pública </w:t>
      </w:r>
      <w:r w:rsidR="006875F0" w:rsidRPr="000D218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6"/>
          <w:sz w:val="22"/>
          <w:szCs w:val="22"/>
        </w:rPr>
        <w:t xml:space="preserve">poder  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w w:val="9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las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instituciones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es  </w:t>
      </w:r>
      <w:r w:rsidRPr="000D2186">
        <w:rPr>
          <w:rFonts w:asciiTheme="minorHAnsi" w:eastAsia="Arial" w:hAnsiTheme="minorHAnsi" w:cs="Arial"/>
          <w:color w:val="000000" w:themeColor="text1"/>
          <w:spacing w:val="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derecho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reconocido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la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Legislación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2"/>
          <w:sz w:val="22"/>
          <w:szCs w:val="22"/>
        </w:rPr>
        <w:t>lo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5"/>
          <w:sz w:val="22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supone     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el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55"/>
          <w:sz w:val="22"/>
          <w:szCs w:val="22"/>
        </w:rPr>
        <w:t>directo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7"/>
          <w:sz w:val="22"/>
          <w:szCs w:val="22"/>
        </w:rPr>
        <w:t>cumplim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ento     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al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principio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2"/>
          <w:sz w:val="22"/>
          <w:szCs w:val="22"/>
        </w:rPr>
        <w:t>máxima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publicidad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8"/>
          <w:sz w:val="22"/>
          <w:szCs w:val="22"/>
        </w:rPr>
        <w:t>esta</w:t>
      </w:r>
      <w:r w:rsidRPr="000D2186">
        <w:rPr>
          <w:rFonts w:asciiTheme="minorHAnsi" w:eastAsia="Arial" w:hAnsiTheme="minorHAnsi" w:cs="Arial"/>
          <w:color w:val="000000" w:themeColor="text1"/>
          <w:w w:val="88"/>
          <w:sz w:val="22"/>
          <w:szCs w:val="22"/>
        </w:rPr>
        <w:t>b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l</w:t>
      </w:r>
      <w:r w:rsidRPr="000D2186">
        <w:rPr>
          <w:rFonts w:asciiTheme="minorHAnsi" w:eastAsia="Arial" w:hAnsiTheme="minorHAnsi" w:cs="Arial"/>
          <w:color w:val="000000" w:themeColor="text1"/>
          <w:w w:val="88"/>
          <w:sz w:val="22"/>
          <w:szCs w:val="22"/>
        </w:rPr>
        <w:t>e</w:t>
      </w:r>
      <w:r w:rsidRPr="000D2186">
        <w:rPr>
          <w:rFonts w:asciiTheme="minorHAnsi" w:eastAsia="Arial" w:hAnsiTheme="minorHAnsi" w:cs="Arial"/>
          <w:color w:val="000000" w:themeColor="text1"/>
          <w:w w:val="96"/>
          <w:sz w:val="22"/>
          <w:szCs w:val="22"/>
        </w:rPr>
        <w:t>cid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1"/>
          <w:sz w:val="22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w w:val="8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4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LAIP</w:t>
      </w:r>
      <w:r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w w:val="7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cual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>dicha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>información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carácter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público </w:t>
      </w:r>
      <w:r w:rsidR="006875F0" w:rsidRPr="000D2186">
        <w:rPr>
          <w:rFonts w:asciiTheme="minorHAnsi" w:eastAsia="Arial" w:hAnsiTheme="minorHAnsi" w:cs="Arial"/>
          <w:color w:val="000000" w:themeColor="text1"/>
          <w:spacing w:val="14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-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difusión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irrestricta,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salvo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excepc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ones  </w:t>
      </w:r>
      <w:r w:rsidRPr="000D2186">
        <w:rPr>
          <w:rFonts w:asciiTheme="minorHAnsi" w:eastAsia="Arial" w:hAnsiTheme="minorHAnsi" w:cs="Arial"/>
          <w:color w:val="000000" w:themeColor="text1"/>
          <w:spacing w:val="1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expresamente    </w:t>
      </w:r>
      <w:r w:rsidRPr="000D218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 xml:space="preserve"> 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establecidas en la Ley la 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uscrita </w:t>
      </w:r>
      <w:r w:rsidRPr="000D2186">
        <w:rPr>
          <w:rFonts w:asciiTheme="minorHAnsi" w:eastAsia="Arial" w:hAnsiTheme="minorHAnsi" w:cs="Arial"/>
          <w:color w:val="000000" w:themeColor="text1"/>
          <w:spacing w:val="4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advierte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1"/>
          <w:sz w:val="22"/>
          <w:szCs w:val="22"/>
        </w:rPr>
        <w:t xml:space="preserve">que  </w:t>
      </w:r>
      <w:r w:rsidRPr="000D2186">
        <w:rPr>
          <w:rFonts w:asciiTheme="minorHAnsi" w:eastAsia="Arial" w:hAnsiTheme="minorHAnsi" w:cs="Arial"/>
          <w:color w:val="000000" w:themeColor="text1"/>
          <w:spacing w:val="15"/>
          <w:w w:val="9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solic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tud   </w:t>
      </w:r>
      <w:r w:rsidRPr="000D2186">
        <w:rPr>
          <w:rFonts w:asciiTheme="minorHAnsi" w:eastAsia="Arial" w:hAnsiTheme="minorHAnsi" w:cs="Arial"/>
          <w:color w:val="000000" w:themeColor="text1"/>
          <w:spacing w:val="-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cumplió     </w:t>
      </w:r>
      <w:r w:rsidRPr="000D2186">
        <w:rPr>
          <w:rFonts w:asciiTheme="minorHAnsi" w:eastAsia="Arial" w:hAnsiTheme="minorHAnsi" w:cs="Arial"/>
          <w:color w:val="000000" w:themeColor="text1"/>
          <w:spacing w:val="4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todos      </w:t>
      </w:r>
      <w:r w:rsidRPr="000D218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requisitos formales </w:t>
      </w:r>
      <w:r w:rsidRPr="000D2186">
        <w:rPr>
          <w:rFonts w:asciiTheme="minorHAnsi" w:eastAsia="Arial" w:hAnsiTheme="minorHAnsi" w:cs="Arial"/>
          <w:color w:val="000000" w:themeColor="text1"/>
          <w:spacing w:val="4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 w:val="22"/>
          <w:szCs w:val="22"/>
        </w:rPr>
        <w:t>exig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dos  </w:t>
      </w:r>
      <w:r w:rsidRPr="000D2186">
        <w:rPr>
          <w:rFonts w:asciiTheme="minorHAnsi" w:eastAsia="Arial" w:hAnsiTheme="minorHAnsi" w:cs="Arial"/>
          <w:color w:val="000000" w:themeColor="text1"/>
          <w:spacing w:val="-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l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os 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Art.66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7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66"/>
          <w:sz w:val="22"/>
          <w:szCs w:val="22"/>
        </w:rPr>
        <w:t>P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Art.54 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 xml:space="preserve">RELAIP,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w w:val="7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siendo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3"/>
          <w:sz w:val="22"/>
          <w:szCs w:val="22"/>
        </w:rPr>
        <w:t>proceden</w:t>
      </w:r>
      <w:r w:rsidRPr="000D2186">
        <w:rPr>
          <w:rFonts w:asciiTheme="minorHAnsi" w:eastAsia="Arial" w:hAnsiTheme="minorHAnsi" w:cs="Arial"/>
          <w:color w:val="000000" w:themeColor="text1"/>
          <w:w w:val="126"/>
          <w:sz w:val="22"/>
          <w:szCs w:val="22"/>
        </w:rPr>
        <w:t>t</w:t>
      </w:r>
      <w:r w:rsidRPr="000D218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e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</w:t>
      </w:r>
      <w:r w:rsidRPr="000D2186">
        <w:rPr>
          <w:rFonts w:asciiTheme="minorHAnsi" w:eastAsia="Arial" w:hAnsiTheme="minorHAnsi" w:cs="Arial"/>
          <w:color w:val="000000" w:themeColor="text1"/>
          <w:spacing w:val="-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entregar lo 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licitado,   </w:t>
      </w:r>
      <w:r w:rsidRPr="000D2186">
        <w:rPr>
          <w:rFonts w:asciiTheme="minorHAnsi" w:eastAsia="Arial" w:hAnsiTheme="minorHAnsi" w:cs="Arial"/>
          <w:color w:val="000000" w:themeColor="text1"/>
          <w:spacing w:val="-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por</w:t>
      </w:r>
      <w:r w:rsidRPr="000D2186">
        <w:rPr>
          <w:rFonts w:asciiTheme="minorHAnsi" w:eastAsia="Arial" w:hAnsiTheme="minorHAnsi" w:cs="Arial"/>
          <w:color w:val="000000" w:themeColor="text1"/>
          <w:spacing w:val="5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4"/>
          <w:sz w:val="22"/>
          <w:szCs w:val="22"/>
        </w:rPr>
        <w:t xml:space="preserve">ello  </w:t>
      </w:r>
      <w:r w:rsidRPr="000D2186">
        <w:rPr>
          <w:rFonts w:asciiTheme="minorHAnsi" w:eastAsia="Arial" w:hAnsiTheme="minorHAnsi" w:cs="Arial"/>
          <w:color w:val="000000" w:themeColor="text1"/>
          <w:spacing w:val="36"/>
          <w:w w:val="8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4"/>
          <w:sz w:val="22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8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requirió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1"/>
          <w:sz w:val="22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3"/>
          <w:w w:val="8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1"/>
          <w:sz w:val="22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14"/>
          <w:w w:val="8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Junta de Vigilancia de la Profesión Médica,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entregue la respuesta</w:t>
      </w:r>
      <w:r w:rsidR="000D2186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; quien a través de oficio 1-2-68/2018: Aclara  que la normativa que reflejará la decisión administrativa que se requiere en la solicitud , está en estudio y análisis, así mismo se entera a la persona solicitante que hay procesos de solicitud de inscripción para la carrera, pero que aun no se tiene resolución alguna.</w:t>
      </w:r>
      <w:r w:rsidR="006875F0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0D2186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este sentido la respuesta de la Junta de Vigilancia de la Profesión Médica con referencia al segundo requerimiento de la solicitud, la cual condiciona la respuesta </w:t>
      </w:r>
      <w:r w:rsidR="00367E92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positiva a</w:t>
      </w:r>
      <w:r w:rsidR="000D2186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la primera pregunta, se refleja en el oficio mencionado</w:t>
      </w:r>
      <w:r w:rsidR="00367E9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Por tanto </w:t>
      </w:r>
      <w:r w:rsidRPr="000D218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>RESUE</w:t>
      </w:r>
      <w:r w:rsidRPr="000D2186">
        <w:rPr>
          <w:rFonts w:asciiTheme="minorHAnsi" w:eastAsia="Arial" w:hAnsiTheme="minorHAnsi" w:cs="Arial"/>
          <w:b/>
          <w:color w:val="000000" w:themeColor="text1"/>
          <w:spacing w:val="-5"/>
          <w:w w:val="68"/>
          <w:sz w:val="22"/>
          <w:szCs w:val="22"/>
        </w:rPr>
        <w:t>L</w:t>
      </w:r>
      <w:r w:rsidRPr="000D218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 xml:space="preserve">VE:   </w:t>
      </w:r>
      <w:r w:rsidRPr="000D2186">
        <w:rPr>
          <w:rFonts w:asciiTheme="minorHAnsi" w:eastAsia="Arial" w:hAnsiTheme="minorHAnsi" w:cs="Arial"/>
          <w:b/>
          <w:color w:val="000000" w:themeColor="text1"/>
          <w:spacing w:val="36"/>
          <w:w w:val="68"/>
          <w:sz w:val="22"/>
          <w:szCs w:val="22"/>
        </w:rPr>
        <w:t xml:space="preserve"> </w:t>
      </w:r>
      <w:r w:rsidR="00D15EDA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brindar la </w:t>
      </w:r>
      <w:r w:rsidR="000D2186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respuesta emitida por la JVPM ya que es </w:t>
      </w:r>
      <w:r w:rsidR="00D15EDA"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pública </w:t>
      </w:r>
      <w:bookmarkStart w:id="0" w:name="_GoBack"/>
      <w:bookmarkEnd w:id="0"/>
    </w:p>
    <w:p w:rsidR="00036BBD" w:rsidRPr="00500DBF" w:rsidRDefault="004D0F11" w:rsidP="0055361A">
      <w:pPr>
        <w:spacing w:after="0"/>
        <w:jc w:val="both"/>
        <w:rPr>
          <w:sz w:val="24"/>
          <w:szCs w:val="24"/>
        </w:rPr>
      </w:pPr>
      <w:r w:rsidRPr="00D15EDA">
        <w:rPr>
          <w:sz w:val="24"/>
          <w:szCs w:val="24"/>
        </w:rPr>
        <w:t>A</w:t>
      </w:r>
      <w:r w:rsidR="00D15EDA">
        <w:rPr>
          <w:sz w:val="24"/>
          <w:szCs w:val="24"/>
        </w:rPr>
        <w:t>tentamente</w:t>
      </w:r>
    </w:p>
    <w:p w:rsidR="005D3DE2" w:rsidRPr="005D3DE2" w:rsidRDefault="00D15EDA" w:rsidP="00D15EDA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5D3DE2" w:rsidRPr="005D3DE2">
        <w:rPr>
          <w:b/>
          <w:sz w:val="28"/>
          <w:szCs w:val="28"/>
        </w:rPr>
        <w:t>Aura Ivette Morales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Consejo Superior de Salud Pública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AC68D2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80324"/>
    <w:rsid w:val="000D1F90"/>
    <w:rsid w:val="000D2186"/>
    <w:rsid w:val="001462EA"/>
    <w:rsid w:val="001F677D"/>
    <w:rsid w:val="002642E9"/>
    <w:rsid w:val="00277445"/>
    <w:rsid w:val="00292AE9"/>
    <w:rsid w:val="002C6EE5"/>
    <w:rsid w:val="002D792A"/>
    <w:rsid w:val="003218CD"/>
    <w:rsid w:val="00367E92"/>
    <w:rsid w:val="003C0A5A"/>
    <w:rsid w:val="003E4314"/>
    <w:rsid w:val="004B62DA"/>
    <w:rsid w:val="004D0F11"/>
    <w:rsid w:val="00500DBF"/>
    <w:rsid w:val="00506AFF"/>
    <w:rsid w:val="005308C4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875F0"/>
    <w:rsid w:val="00690086"/>
    <w:rsid w:val="006F7881"/>
    <w:rsid w:val="007055C3"/>
    <w:rsid w:val="00744134"/>
    <w:rsid w:val="007D1AA8"/>
    <w:rsid w:val="00847372"/>
    <w:rsid w:val="008B04BD"/>
    <w:rsid w:val="008B65A4"/>
    <w:rsid w:val="008D2B4B"/>
    <w:rsid w:val="00940424"/>
    <w:rsid w:val="009D19D3"/>
    <w:rsid w:val="009F4611"/>
    <w:rsid w:val="00A26837"/>
    <w:rsid w:val="00A34BDD"/>
    <w:rsid w:val="00A71F8C"/>
    <w:rsid w:val="00AA5544"/>
    <w:rsid w:val="00AC68D2"/>
    <w:rsid w:val="00B71AC0"/>
    <w:rsid w:val="00B9672D"/>
    <w:rsid w:val="00BB4CAE"/>
    <w:rsid w:val="00BE70A7"/>
    <w:rsid w:val="00C66598"/>
    <w:rsid w:val="00CA347E"/>
    <w:rsid w:val="00CB73FC"/>
    <w:rsid w:val="00D10840"/>
    <w:rsid w:val="00D15EDA"/>
    <w:rsid w:val="00D6684D"/>
    <w:rsid w:val="00DC0E22"/>
    <w:rsid w:val="00DD3392"/>
    <w:rsid w:val="00EA5EA2"/>
    <w:rsid w:val="00F60C95"/>
    <w:rsid w:val="00F75BD4"/>
    <w:rsid w:val="00FA766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9</cp:revision>
  <cp:lastPrinted>2017-08-29T15:56:00Z</cp:lastPrinted>
  <dcterms:created xsi:type="dcterms:W3CDTF">2018-02-12T15:55:00Z</dcterms:created>
  <dcterms:modified xsi:type="dcterms:W3CDTF">2018-02-12T16:54:00Z</dcterms:modified>
</cp:coreProperties>
</file>