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6CC1" w14:textId="6FC6D047" w:rsidR="00CE279A" w:rsidRPr="009A0935" w:rsidRDefault="00723C0E" w:rsidP="009A0935">
      <w:pPr>
        <w:pStyle w:val="Sinespaciado"/>
        <w:spacing w:line="276" w:lineRule="auto"/>
        <w:jc w:val="right"/>
        <w:rPr>
          <w:sz w:val="20"/>
          <w:szCs w:val="20"/>
        </w:rPr>
      </w:pPr>
      <w:r>
        <w:rPr>
          <w:noProof/>
        </w:rPr>
        <mc:AlternateContent>
          <mc:Choice Requires="wps">
            <w:drawing>
              <wp:anchor distT="45720" distB="45720" distL="114300" distR="114300" simplePos="0" relativeHeight="251659264" behindDoc="1" locked="0" layoutInCell="1" allowOverlap="1" wp14:anchorId="39312709" wp14:editId="476B6D58">
                <wp:simplePos x="0" y="0"/>
                <wp:positionH relativeFrom="column">
                  <wp:posOffset>-746760</wp:posOffset>
                </wp:positionH>
                <wp:positionV relativeFrom="paragraph">
                  <wp:posOffset>-1283970</wp:posOffset>
                </wp:positionV>
                <wp:extent cx="2838450" cy="948690"/>
                <wp:effectExtent l="19050" t="19050" r="19050" b="2286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3EF3349A" w14:textId="77777777" w:rsidR="00723C0E" w:rsidRPr="008F2642" w:rsidRDefault="00723C0E" w:rsidP="00723C0E">
                            <w:pPr>
                              <w:jc w:val="center"/>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VERSIÓN PÚBLICA</w:t>
                            </w:r>
                          </w:p>
                          <w:p w14:paraId="1335C9D8" w14:textId="77777777" w:rsidR="00723C0E" w:rsidRPr="008F2642" w:rsidRDefault="00723C0E" w:rsidP="00723C0E">
                            <w:pPr>
                              <w:jc w:val="both"/>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12709" id="_x0000_t202" coordsize="21600,21600" o:spt="202" path="m,l,21600r21600,l21600,xe">
                <v:stroke joinstyle="miter"/>
                <v:path gradientshapeok="t" o:connecttype="rect"/>
              </v:shapetype>
              <v:shape id="Cuadro de texto 1" o:spid="_x0000_s1026" type="#_x0000_t202" style="position:absolute;left:0;text-align:left;margin-left:-58.8pt;margin-top:-101.1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" strokecolor="#538135 [2409]" strokeweight="3pt">
                <v:textbox>
                  <w:txbxContent>
                    <w:p w14:paraId="3EF3349A" w14:textId="77777777" w:rsidR="00723C0E" w:rsidRPr="008F2642" w:rsidRDefault="00723C0E" w:rsidP="00723C0E">
                      <w:pPr>
                        <w:jc w:val="center"/>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VERSIÓN PÚBLICA</w:t>
                      </w:r>
                    </w:p>
                    <w:p w14:paraId="1335C9D8" w14:textId="77777777" w:rsidR="00723C0E" w:rsidRPr="008F2642" w:rsidRDefault="00723C0E" w:rsidP="00723C0E">
                      <w:pPr>
                        <w:jc w:val="both"/>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542E7F">
        <w:rPr>
          <w:sz w:val="20"/>
          <w:szCs w:val="20"/>
        </w:rPr>
        <w:t>REFERENCIA: SAIP_ 202</w:t>
      </w:r>
      <w:r w:rsidR="0057269E">
        <w:rPr>
          <w:sz w:val="20"/>
          <w:szCs w:val="20"/>
        </w:rPr>
        <w:t>2_003</w:t>
      </w:r>
    </w:p>
    <w:p w14:paraId="1EDEF7FD" w14:textId="77777777" w:rsidR="00CE279A" w:rsidRDefault="00CE279A" w:rsidP="009A0935">
      <w:pPr>
        <w:pStyle w:val="Sinespaciado"/>
        <w:spacing w:line="276" w:lineRule="auto"/>
        <w:jc w:val="center"/>
        <w:rPr>
          <w:b/>
          <w:sz w:val="20"/>
          <w:szCs w:val="20"/>
        </w:rPr>
      </w:pPr>
    </w:p>
    <w:p w14:paraId="6ADC7083" w14:textId="77777777" w:rsidR="00623878" w:rsidRPr="009A0935" w:rsidRDefault="00623878" w:rsidP="009A0935">
      <w:pPr>
        <w:pStyle w:val="Sinespaciado"/>
        <w:spacing w:line="276" w:lineRule="auto"/>
        <w:jc w:val="center"/>
        <w:rPr>
          <w:b/>
          <w:sz w:val="20"/>
          <w:szCs w:val="20"/>
        </w:rPr>
      </w:pPr>
    </w:p>
    <w:p w14:paraId="25D535FF" w14:textId="77777777"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14:paraId="7F853A65" w14:textId="77777777" w:rsidR="00CE279A" w:rsidRPr="009A0935" w:rsidRDefault="00CE279A" w:rsidP="009A0935">
      <w:pPr>
        <w:pStyle w:val="Sinespaciado"/>
        <w:spacing w:line="276" w:lineRule="auto"/>
        <w:jc w:val="center"/>
        <w:rPr>
          <w:b/>
          <w:sz w:val="20"/>
          <w:szCs w:val="20"/>
        </w:rPr>
      </w:pPr>
    </w:p>
    <w:p w14:paraId="351E2ED3"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F72712" w:rsidRPr="00F72712">
        <w:rPr>
          <w:sz w:val="20"/>
          <w:szCs w:val="20"/>
        </w:rPr>
        <w:t>catorce</w:t>
      </w:r>
      <w:r w:rsidR="0057269E" w:rsidRPr="00F72712">
        <w:rPr>
          <w:sz w:val="20"/>
          <w:szCs w:val="20"/>
        </w:rPr>
        <w:t xml:space="preserve"> </w:t>
      </w:r>
      <w:r w:rsidRPr="00F72712">
        <w:rPr>
          <w:sz w:val="20"/>
          <w:szCs w:val="20"/>
        </w:rPr>
        <w:t xml:space="preserve">horas </w:t>
      </w:r>
      <w:r w:rsidR="00202512" w:rsidRPr="00F72712">
        <w:rPr>
          <w:sz w:val="20"/>
          <w:szCs w:val="20"/>
        </w:rPr>
        <w:t xml:space="preserve">y </w:t>
      </w:r>
      <w:r w:rsidR="00196C77" w:rsidRPr="00F72712">
        <w:rPr>
          <w:sz w:val="20"/>
          <w:szCs w:val="20"/>
        </w:rPr>
        <w:t>once</w:t>
      </w:r>
      <w:r w:rsidR="00196C77">
        <w:rPr>
          <w:sz w:val="20"/>
          <w:szCs w:val="20"/>
        </w:rPr>
        <w:t xml:space="preserve"> </w:t>
      </w:r>
      <w:r w:rsidR="00202512">
        <w:rPr>
          <w:sz w:val="20"/>
          <w:szCs w:val="20"/>
        </w:rPr>
        <w:t xml:space="preserve">minutos </w:t>
      </w:r>
      <w:r w:rsidRPr="009A0935">
        <w:rPr>
          <w:sz w:val="20"/>
          <w:szCs w:val="20"/>
        </w:rPr>
        <w:t xml:space="preserve">del día </w:t>
      </w:r>
      <w:r w:rsidR="00196C77">
        <w:rPr>
          <w:sz w:val="20"/>
          <w:szCs w:val="20"/>
        </w:rPr>
        <w:t xml:space="preserve">treinta y uno </w:t>
      </w:r>
      <w:r w:rsidR="00A63001">
        <w:rPr>
          <w:sz w:val="20"/>
          <w:szCs w:val="20"/>
        </w:rPr>
        <w:t xml:space="preserve">de </w:t>
      </w:r>
      <w:r w:rsidR="00F65E20">
        <w:rPr>
          <w:sz w:val="20"/>
          <w:szCs w:val="20"/>
        </w:rPr>
        <w:t xml:space="preserve">enero </w:t>
      </w:r>
      <w:r w:rsidRPr="009A0935">
        <w:rPr>
          <w:sz w:val="20"/>
          <w:szCs w:val="20"/>
        </w:rPr>
        <w:t xml:space="preserve">de dos mil </w:t>
      </w:r>
      <w:r w:rsidR="00F65E20">
        <w:rPr>
          <w:sz w:val="20"/>
          <w:szCs w:val="20"/>
        </w:rPr>
        <w:t>veintidós</w:t>
      </w:r>
      <w:r w:rsidRPr="009A0935">
        <w:rPr>
          <w:sz w:val="20"/>
          <w:szCs w:val="20"/>
        </w:rPr>
        <w:t>.</w:t>
      </w:r>
    </w:p>
    <w:p w14:paraId="61F7317D" w14:textId="77777777" w:rsidR="00CE279A" w:rsidRPr="009A0935" w:rsidRDefault="00CE279A" w:rsidP="009A0935">
      <w:pPr>
        <w:pStyle w:val="Sinespaciado"/>
        <w:spacing w:line="276" w:lineRule="auto"/>
        <w:jc w:val="both"/>
        <w:rPr>
          <w:sz w:val="20"/>
          <w:szCs w:val="20"/>
        </w:rPr>
      </w:pPr>
    </w:p>
    <w:p w14:paraId="63326445" w14:textId="6D0BD790"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57269E">
        <w:rPr>
          <w:sz w:val="20"/>
          <w:szCs w:val="20"/>
        </w:rPr>
        <w:t xml:space="preserve">catorce </w:t>
      </w:r>
      <w:r w:rsidRPr="009A0935">
        <w:rPr>
          <w:sz w:val="20"/>
          <w:szCs w:val="20"/>
        </w:rPr>
        <w:t>horas</w:t>
      </w:r>
      <w:r w:rsidR="00556C4B" w:rsidRPr="009A0935">
        <w:rPr>
          <w:sz w:val="20"/>
          <w:szCs w:val="20"/>
        </w:rPr>
        <w:t xml:space="preserve"> </w:t>
      </w:r>
      <w:r w:rsidR="00202512">
        <w:rPr>
          <w:sz w:val="20"/>
          <w:szCs w:val="20"/>
        </w:rPr>
        <w:t xml:space="preserve">y </w:t>
      </w:r>
      <w:r w:rsidR="0057269E">
        <w:rPr>
          <w:sz w:val="20"/>
          <w:szCs w:val="20"/>
        </w:rPr>
        <w:t xml:space="preserve">cincuenta </w:t>
      </w:r>
      <w:r w:rsidR="00202512">
        <w:rPr>
          <w:sz w:val="20"/>
          <w:szCs w:val="20"/>
        </w:rPr>
        <w:t xml:space="preserve">minutos </w:t>
      </w:r>
      <w:r w:rsidRPr="009A0935">
        <w:rPr>
          <w:sz w:val="20"/>
          <w:szCs w:val="20"/>
        </w:rPr>
        <w:t xml:space="preserve">del día </w:t>
      </w:r>
      <w:r w:rsidR="0057269E">
        <w:rPr>
          <w:sz w:val="20"/>
          <w:szCs w:val="20"/>
        </w:rPr>
        <w:t xml:space="preserve">diecinueve </w:t>
      </w:r>
      <w:r w:rsidR="008374E3">
        <w:rPr>
          <w:sz w:val="20"/>
          <w:szCs w:val="20"/>
        </w:rPr>
        <w:t xml:space="preserve">de enero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w:t>
      </w:r>
      <w:r w:rsidR="00542E7F">
        <w:rPr>
          <w:sz w:val="20"/>
          <w:szCs w:val="20"/>
        </w:rPr>
        <w:t xml:space="preserve">suscrita por </w:t>
      </w:r>
      <w:r w:rsidR="00723C0E" w:rsidRPr="00723C0E">
        <w:rPr>
          <w:sz w:val="20"/>
          <w:szCs w:val="20"/>
          <w:highlight w:val="black"/>
        </w:rPr>
        <w:t>----------------------------------------</w:t>
      </w:r>
      <w:r w:rsidR="00493AC0">
        <w:rPr>
          <w:sz w:val="20"/>
          <w:szCs w:val="20"/>
        </w:rPr>
        <w:t xml:space="preserve">, </w:t>
      </w:r>
      <w:r w:rsidR="00556C4B" w:rsidRPr="009A0935">
        <w:rPr>
          <w:sz w:val="20"/>
          <w:szCs w:val="20"/>
        </w:rPr>
        <w:t xml:space="preserve">con Documento Único de Identidad número </w:t>
      </w:r>
      <w:r w:rsidR="00723C0E" w:rsidRPr="00723C0E">
        <w:rPr>
          <w:sz w:val="20"/>
          <w:szCs w:val="20"/>
          <w:highlight w:val="black"/>
        </w:rPr>
        <w:t>-----------------------------------------------------------</w:t>
      </w:r>
      <w:r w:rsidRPr="009A0935">
        <w:rPr>
          <w:sz w:val="20"/>
          <w:szCs w:val="20"/>
        </w:rPr>
        <w:t>; correspondiente al expediente referencia SAIP_ 20</w:t>
      </w:r>
      <w:r w:rsidR="00556C4B" w:rsidRPr="009A0935">
        <w:rPr>
          <w:sz w:val="20"/>
          <w:szCs w:val="20"/>
        </w:rPr>
        <w:t>2</w:t>
      </w:r>
      <w:r w:rsidR="008374E3">
        <w:rPr>
          <w:sz w:val="20"/>
          <w:szCs w:val="20"/>
        </w:rPr>
        <w:t>2</w:t>
      </w:r>
      <w:r w:rsidRPr="009A0935">
        <w:rPr>
          <w:sz w:val="20"/>
          <w:szCs w:val="20"/>
        </w:rPr>
        <w:t>_0</w:t>
      </w:r>
      <w:r w:rsidR="008374E3">
        <w:rPr>
          <w:sz w:val="20"/>
          <w:szCs w:val="20"/>
        </w:rPr>
        <w:t>0</w:t>
      </w:r>
      <w:r w:rsidR="0057269E">
        <w:rPr>
          <w:sz w:val="20"/>
          <w:szCs w:val="20"/>
        </w:rPr>
        <w:t>3</w:t>
      </w:r>
      <w:r w:rsidR="004700A4">
        <w:rPr>
          <w:sz w:val="20"/>
          <w:szCs w:val="20"/>
        </w:rPr>
        <w:t xml:space="preserve"> </w:t>
      </w:r>
      <w:r w:rsidR="004700A4" w:rsidRPr="00AD0449">
        <w:rPr>
          <w:sz w:val="20"/>
          <w:szCs w:val="20"/>
        </w:rPr>
        <w:t>y SAIP_2022_005</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14:paraId="1F3D9F6F" w14:textId="77777777" w:rsidR="00556C4B" w:rsidRPr="009A0935" w:rsidRDefault="00556C4B" w:rsidP="009A0935">
      <w:pPr>
        <w:pStyle w:val="Sinespaciado"/>
        <w:spacing w:line="276" w:lineRule="auto"/>
        <w:jc w:val="both"/>
        <w:rPr>
          <w:sz w:val="20"/>
          <w:szCs w:val="20"/>
        </w:rPr>
      </w:pPr>
    </w:p>
    <w:p w14:paraId="1A1A1C2D" w14:textId="77777777"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14:paraId="76B79C52" w14:textId="77777777"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14:paraId="7CF4FBE8" w14:textId="77777777" w:rsidR="00BA5FA6" w:rsidRPr="00202512" w:rsidRDefault="005172B7" w:rsidP="00782D1B">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782D1B" w:rsidRPr="004B5FE8">
        <w:rPr>
          <w:rFonts w:asciiTheme="minorHAnsi" w:hAnsiTheme="minorHAnsi"/>
          <w:b/>
          <w:i/>
          <w:sz w:val="20"/>
          <w:szCs w:val="20"/>
        </w:rPr>
        <w:t xml:space="preserve">Certificado de análisis emitido por el Laboratorio de Control de Calidad de la Dirección Nacional de Medicamentos, sobre los dispositivos médicos identificados como: catéter venoso 7frde 3 vías y catéter venoso 7fr de 2 vías, marca </w:t>
      </w:r>
      <w:proofErr w:type="spellStart"/>
      <w:r w:rsidR="00782D1B" w:rsidRPr="004B5FE8">
        <w:rPr>
          <w:rFonts w:asciiTheme="minorHAnsi" w:hAnsiTheme="minorHAnsi"/>
          <w:b/>
          <w:i/>
          <w:sz w:val="20"/>
          <w:szCs w:val="20"/>
        </w:rPr>
        <w:t>Bioflux</w:t>
      </w:r>
      <w:proofErr w:type="spellEnd"/>
      <w:r w:rsidR="00782D1B" w:rsidRPr="004B5FE8">
        <w:rPr>
          <w:rFonts w:asciiTheme="minorHAnsi" w:hAnsiTheme="minorHAnsi"/>
          <w:b/>
          <w:i/>
          <w:sz w:val="20"/>
          <w:szCs w:val="20"/>
        </w:rPr>
        <w:t xml:space="preserve">, del fabricante </w:t>
      </w:r>
      <w:proofErr w:type="spellStart"/>
      <w:r w:rsidR="00782D1B" w:rsidRPr="004B5FE8">
        <w:rPr>
          <w:rFonts w:asciiTheme="minorHAnsi" w:hAnsiTheme="minorHAnsi"/>
          <w:b/>
          <w:i/>
          <w:sz w:val="20"/>
          <w:szCs w:val="20"/>
        </w:rPr>
        <w:t>Ebime</w:t>
      </w:r>
      <w:proofErr w:type="spellEnd"/>
      <w:r w:rsidR="00782D1B" w:rsidRPr="004B5FE8">
        <w:rPr>
          <w:rFonts w:asciiTheme="minorHAnsi" w:hAnsiTheme="minorHAnsi"/>
          <w:b/>
          <w:i/>
          <w:sz w:val="20"/>
          <w:szCs w:val="20"/>
        </w:rPr>
        <w:t>, lotes números: BF21E08, BF21F05 y BF21E10</w:t>
      </w:r>
      <w:r w:rsidRPr="00202512">
        <w:rPr>
          <w:rFonts w:asciiTheme="minorHAnsi" w:hAnsiTheme="minorHAnsi" w:cstheme="minorHAnsi"/>
          <w:b/>
          <w:i/>
          <w:sz w:val="20"/>
          <w:szCs w:val="20"/>
        </w:rPr>
        <w:t>”</w:t>
      </w:r>
    </w:p>
    <w:p w14:paraId="5D70F8E0" w14:textId="77777777" w:rsidR="00CC2388" w:rsidRPr="005172B7" w:rsidRDefault="00CC2388" w:rsidP="005172B7">
      <w:pPr>
        <w:jc w:val="both"/>
        <w:rPr>
          <w:rFonts w:asciiTheme="minorHAnsi" w:eastAsiaTheme="minorHAnsi" w:hAnsiTheme="minorHAnsi" w:cstheme="minorHAnsi"/>
          <w:b/>
          <w:i/>
          <w:sz w:val="20"/>
          <w:szCs w:val="20"/>
          <w:lang w:eastAsia="en-US"/>
        </w:rPr>
      </w:pPr>
    </w:p>
    <w:p w14:paraId="5208A47B" w14:textId="77777777" w:rsidR="00CE279A" w:rsidRPr="00C23DF3" w:rsidRDefault="00CE279A" w:rsidP="009A0935">
      <w:pPr>
        <w:pStyle w:val="Sinespaciado"/>
        <w:spacing w:line="276" w:lineRule="auto"/>
        <w:jc w:val="both"/>
        <w:rPr>
          <w:sz w:val="20"/>
          <w:szCs w:val="20"/>
          <w:lang w:val="es-ES"/>
        </w:rPr>
      </w:pPr>
    </w:p>
    <w:p w14:paraId="309AED3C" w14:textId="77777777"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428BD583" w14:textId="77777777"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098ADDB5" w14:textId="77777777"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2F681770" w14:textId="77777777" w:rsidR="00D87C92" w:rsidRDefault="005D1096" w:rsidP="00D87C92">
      <w:pPr>
        <w:pStyle w:val="Prrafodelista"/>
        <w:numPr>
          <w:ilvl w:val="0"/>
          <w:numId w:val="7"/>
        </w:numPr>
        <w:ind w:left="709" w:hanging="425"/>
        <w:jc w:val="both"/>
        <w:rPr>
          <w:noProof/>
          <w:sz w:val="20"/>
          <w:szCs w:val="20"/>
          <w:lang w:eastAsia="es-SV"/>
        </w:rPr>
      </w:pPr>
      <w:r w:rsidRPr="005D1096">
        <w:rPr>
          <w:noProof/>
          <w:sz w:val="20"/>
          <w:szCs w:val="20"/>
          <w:lang w:eastAsia="es-SV"/>
        </w:rPr>
        <w:t>El artículo 24 LAIP determina como información confidencial los datos personales, así como el secreto profesional, comercial, industrial u otro considerado como tal por una disposición legal; relacionado al artículo 30 del mismo cuerpo normativo, el cual establece que en caso,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noProof/>
          <w:sz w:val="20"/>
          <w:szCs w:val="20"/>
          <w:lang w:eastAsia="es-SV"/>
        </w:rPr>
        <w:t>.</w:t>
      </w:r>
    </w:p>
    <w:p w14:paraId="4757DD62" w14:textId="77777777" w:rsidR="00D87C92" w:rsidRDefault="00D87C92" w:rsidP="00D87C92">
      <w:pPr>
        <w:pStyle w:val="Prrafodelista"/>
        <w:ind w:left="709"/>
        <w:jc w:val="both"/>
        <w:rPr>
          <w:noProof/>
          <w:sz w:val="20"/>
          <w:szCs w:val="20"/>
          <w:lang w:eastAsia="es-SV"/>
        </w:rPr>
      </w:pPr>
    </w:p>
    <w:p w14:paraId="10D4CD33" w14:textId="77777777" w:rsidR="0057546B" w:rsidRPr="00C302A1" w:rsidRDefault="00D87C92" w:rsidP="00D87C92">
      <w:pPr>
        <w:pStyle w:val="Prrafodelista"/>
        <w:numPr>
          <w:ilvl w:val="0"/>
          <w:numId w:val="7"/>
        </w:numPr>
        <w:ind w:left="709" w:hanging="425"/>
        <w:jc w:val="both"/>
        <w:rPr>
          <w:noProof/>
          <w:sz w:val="20"/>
          <w:szCs w:val="20"/>
          <w:lang w:eastAsia="es-SV"/>
        </w:rPr>
      </w:pPr>
      <w:r w:rsidRPr="00D87C92">
        <w:rPr>
          <w:noProof/>
          <w:sz w:val="20"/>
          <w:szCs w:val="20"/>
          <w:lang w:val="es-ES" w:eastAsia="es-SV"/>
        </w:rPr>
        <w:t xml:space="preserve">En línea con lo anterior, el artículo 6 del </w:t>
      </w:r>
      <w:r w:rsidRPr="00D87C92">
        <w:rPr>
          <w:b/>
          <w:bCs/>
          <w:noProof/>
          <w:sz w:val="20"/>
          <w:szCs w:val="20"/>
          <w:lang w:val="es-ES" w:eastAsia="es-SV"/>
        </w:rPr>
        <w:t>lineamiento para gestión de solicitudes de acceso a la información pública</w:t>
      </w:r>
      <w:r w:rsidRPr="00D87C92">
        <w:rPr>
          <w:noProof/>
          <w:sz w:val="20"/>
          <w:szCs w:val="20"/>
          <w:lang w:val="es-ES" w:eastAsia="es-SV"/>
        </w:rPr>
        <w:t xml:space="preserve">, emitido por el Instituto de Acceso a la Información Pública y publicado en el Diario Oficial del 04 de noviembre de 2020, expresamente establece: </w:t>
      </w:r>
      <w:r w:rsidRPr="00D87C92">
        <w:rPr>
          <w:noProof/>
          <w:sz w:val="20"/>
          <w:szCs w:val="20"/>
          <w:lang w:eastAsia="es-SV"/>
        </w:rPr>
        <w:t xml:space="preserve">Los requerimientos efectuados </w:t>
      </w:r>
      <w:r w:rsidRPr="00D87C92">
        <w:rPr>
          <w:noProof/>
          <w:sz w:val="20"/>
          <w:szCs w:val="20"/>
          <w:lang w:eastAsia="es-SV"/>
        </w:rPr>
        <w:lastRenderedPageBreak/>
        <w:t xml:space="preserve">en el trámite de solicitudes de información pública hacia a las Unidades Administrativas internas no contendrán </w:t>
      </w:r>
      <w:r w:rsidRPr="00D87C92">
        <w:rPr>
          <w:noProof/>
          <w:sz w:val="20"/>
          <w:szCs w:val="20"/>
          <w:lang w:val="es-ES" w:eastAsia="es-SV"/>
        </w:rPr>
        <w:t>ni el nombre ni los datos personales del solicitante”.</w:t>
      </w:r>
    </w:p>
    <w:p w14:paraId="4ED0D3C6" w14:textId="77777777" w:rsidR="00C302A1" w:rsidRPr="00C302A1" w:rsidRDefault="00C302A1" w:rsidP="00C302A1">
      <w:pPr>
        <w:pStyle w:val="Prrafodelista"/>
        <w:rPr>
          <w:noProof/>
          <w:sz w:val="20"/>
          <w:szCs w:val="20"/>
          <w:lang w:eastAsia="es-SV"/>
        </w:rPr>
      </w:pPr>
    </w:p>
    <w:p w14:paraId="3C594040" w14:textId="77777777" w:rsidR="00C302A1" w:rsidRPr="00D87C92" w:rsidRDefault="00C302A1" w:rsidP="00D87C92">
      <w:pPr>
        <w:pStyle w:val="Prrafodelista"/>
        <w:numPr>
          <w:ilvl w:val="0"/>
          <w:numId w:val="7"/>
        </w:numPr>
        <w:ind w:left="709" w:hanging="425"/>
        <w:jc w:val="both"/>
        <w:rPr>
          <w:noProof/>
          <w:sz w:val="20"/>
          <w:szCs w:val="20"/>
          <w:lang w:eastAsia="es-SV"/>
        </w:rPr>
      </w:pPr>
      <w:r w:rsidRPr="00F02A3D">
        <w:rPr>
          <w:sz w:val="20"/>
          <w:szCs w:val="20"/>
        </w:rPr>
        <w:t>El Art. 79 de la Ley de Procedimientos Administrativos, establece que el funcionario que inicie o tramite cualquier expediente, podrá, de oficio, ordenar su acumulación a otros expedientes con los que guarde identidad sustancial o íntima conexión</w:t>
      </w:r>
      <w:r>
        <w:rPr>
          <w:sz w:val="20"/>
          <w:szCs w:val="20"/>
        </w:rPr>
        <w:t xml:space="preserve">, </w:t>
      </w:r>
      <w:r w:rsidRPr="00F02A3D">
        <w:rPr>
          <w:sz w:val="20"/>
          <w:szCs w:val="20"/>
        </w:rPr>
        <w:t xml:space="preserve">sobre la resolución que ordene la acumulación no </w:t>
      </w:r>
      <w:r>
        <w:rPr>
          <w:sz w:val="20"/>
          <w:szCs w:val="20"/>
        </w:rPr>
        <w:t xml:space="preserve">se </w:t>
      </w:r>
      <w:r w:rsidRPr="00F02A3D">
        <w:rPr>
          <w:sz w:val="20"/>
          <w:szCs w:val="20"/>
        </w:rPr>
        <w:t>admite recurso, pero se podrá reclamar contra dicha acumulación al impugnarse la resolución que ponga fin al procedimiento</w:t>
      </w:r>
    </w:p>
    <w:p w14:paraId="4702B19D" w14:textId="77777777" w:rsidR="00782D1B" w:rsidRPr="005D1096" w:rsidRDefault="00285061" w:rsidP="00D87C92">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4D64B01F" w14:textId="77777777" w:rsidR="006754DB" w:rsidRDefault="006754DB" w:rsidP="006754DB">
      <w:pPr>
        <w:pStyle w:val="Sinespaciado"/>
        <w:spacing w:line="276" w:lineRule="auto"/>
        <w:ind w:left="1430"/>
        <w:jc w:val="both"/>
        <w:rPr>
          <w:b/>
          <w:sz w:val="20"/>
          <w:szCs w:val="20"/>
        </w:rPr>
      </w:pPr>
    </w:p>
    <w:p w14:paraId="2AC5782B"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749FDA77" w14:textId="77777777" w:rsidR="00542E7F" w:rsidRPr="009A0935" w:rsidRDefault="00542E7F" w:rsidP="00542E7F">
      <w:pPr>
        <w:pStyle w:val="Sinespaciado"/>
        <w:spacing w:line="276" w:lineRule="auto"/>
        <w:jc w:val="both"/>
        <w:rPr>
          <w:b/>
          <w:sz w:val="20"/>
          <w:szCs w:val="20"/>
        </w:rPr>
      </w:pPr>
    </w:p>
    <w:p w14:paraId="338D070F" w14:textId="77777777"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w:t>
      </w:r>
      <w:r w:rsidR="005F1338">
        <w:rPr>
          <w:rFonts w:asciiTheme="minorHAnsi" w:eastAsiaTheme="minorHAnsi" w:hAnsiTheme="minorHAnsi" w:cstheme="minorBidi"/>
          <w:sz w:val="20"/>
          <w:szCs w:val="20"/>
          <w:lang w:val="es-SV" w:eastAsia="en-US"/>
        </w:rPr>
        <w:t>2</w:t>
      </w:r>
      <w:r w:rsidRPr="009A0935">
        <w:rPr>
          <w:rFonts w:asciiTheme="minorHAnsi" w:eastAsiaTheme="minorHAnsi" w:hAnsiTheme="minorHAnsi" w:cstheme="minorBidi"/>
          <w:sz w:val="20"/>
          <w:szCs w:val="20"/>
          <w:lang w:val="es-SV" w:eastAsia="en-US"/>
        </w:rPr>
        <w:t>_0</w:t>
      </w:r>
      <w:r w:rsidR="005F1338">
        <w:rPr>
          <w:rFonts w:asciiTheme="minorHAnsi" w:eastAsiaTheme="minorHAnsi" w:hAnsiTheme="minorHAnsi" w:cstheme="minorBidi"/>
          <w:sz w:val="20"/>
          <w:szCs w:val="20"/>
          <w:lang w:val="es-SV" w:eastAsia="en-US"/>
        </w:rPr>
        <w:t>0</w:t>
      </w:r>
      <w:r w:rsidR="00782D1B">
        <w:rPr>
          <w:rFonts w:asciiTheme="minorHAnsi" w:eastAsiaTheme="minorHAnsi" w:hAnsiTheme="minorHAnsi" w:cstheme="minorBidi"/>
          <w:sz w:val="20"/>
          <w:szCs w:val="20"/>
          <w:lang w:val="es-SV" w:eastAsia="en-US"/>
        </w:rPr>
        <w:t>3</w:t>
      </w:r>
      <w:r w:rsidR="00C302A1">
        <w:rPr>
          <w:rFonts w:asciiTheme="minorHAnsi" w:eastAsiaTheme="minorHAnsi" w:hAnsiTheme="minorHAnsi" w:cstheme="minorBidi"/>
          <w:sz w:val="20"/>
          <w:szCs w:val="20"/>
          <w:lang w:val="es-SV" w:eastAsia="en-US"/>
        </w:rPr>
        <w:t xml:space="preserve"> </w:t>
      </w:r>
      <w:r w:rsidR="00C302A1" w:rsidRPr="00AD0449">
        <w:rPr>
          <w:rFonts w:asciiTheme="minorHAnsi" w:eastAsiaTheme="minorHAnsi" w:hAnsiTheme="minorHAnsi" w:cstheme="minorBidi"/>
          <w:sz w:val="20"/>
          <w:szCs w:val="20"/>
          <w:lang w:val="es-SV" w:eastAsia="en-US"/>
        </w:rPr>
        <w:t>y SAIP_2022_005</w:t>
      </w:r>
      <w:r w:rsidRPr="009A0935">
        <w:rPr>
          <w:rFonts w:asciiTheme="minorHAnsi" w:eastAsiaTheme="minorHAnsi" w:hAnsiTheme="minorHAnsi" w:cstheme="minorBidi"/>
          <w:sz w:val="20"/>
          <w:szCs w:val="20"/>
          <w:lang w:val="es-SV" w:eastAsia="en-US"/>
        </w:rPr>
        <w:t>, a la Unidad de</w:t>
      </w:r>
      <w:r w:rsidR="005F1338">
        <w:rPr>
          <w:rFonts w:asciiTheme="minorHAnsi" w:eastAsiaTheme="minorHAnsi" w:hAnsiTheme="minorHAnsi" w:cstheme="minorBidi"/>
          <w:sz w:val="20"/>
          <w:szCs w:val="20"/>
          <w:lang w:val="es-SV" w:eastAsia="en-US"/>
        </w:rPr>
        <w:t xml:space="preserve"> Control de la Calidad en el Pre y Post </w:t>
      </w:r>
      <w:r w:rsidR="00542E7F">
        <w:rPr>
          <w:rFonts w:asciiTheme="minorHAnsi" w:eastAsiaTheme="minorHAnsi" w:hAnsiTheme="minorHAnsi" w:cstheme="minorBidi"/>
          <w:sz w:val="20"/>
          <w:szCs w:val="20"/>
          <w:lang w:val="es-SV" w:eastAsia="en-US"/>
        </w:rPr>
        <w:t xml:space="preserve">Registro de </w:t>
      </w:r>
      <w:r w:rsidR="005F1338">
        <w:rPr>
          <w:rFonts w:asciiTheme="minorHAnsi" w:eastAsiaTheme="minorHAnsi" w:hAnsiTheme="minorHAnsi" w:cstheme="minorBidi"/>
          <w:sz w:val="20"/>
          <w:szCs w:val="20"/>
          <w:lang w:val="es-SV" w:eastAsia="en-US"/>
        </w:rPr>
        <w:t xml:space="preserve">Medicamentos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14:paraId="44549FCB" w14:textId="77777777" w:rsidR="00CE279A" w:rsidRPr="009A0935" w:rsidRDefault="00CE279A" w:rsidP="009A0935">
      <w:pPr>
        <w:pStyle w:val="Sinespaciado"/>
        <w:spacing w:line="276" w:lineRule="auto"/>
        <w:jc w:val="both"/>
        <w:rPr>
          <w:sz w:val="20"/>
          <w:szCs w:val="20"/>
        </w:rPr>
      </w:pPr>
    </w:p>
    <w:p w14:paraId="7D830450" w14:textId="77777777" w:rsidR="00F27F1B" w:rsidRPr="007652C3" w:rsidRDefault="00F27F1B" w:rsidP="00782D1B">
      <w:pPr>
        <w:pStyle w:val="Sinespaciado"/>
        <w:spacing w:line="276" w:lineRule="auto"/>
        <w:jc w:val="both"/>
        <w:rPr>
          <w:b/>
          <w:i/>
          <w:sz w:val="20"/>
          <w:szCs w:val="20"/>
          <w:u w:val="single"/>
          <w:lang w:val="es-ES"/>
        </w:rPr>
      </w:pPr>
      <w:r>
        <w:rPr>
          <w:b/>
          <w:i/>
          <w:sz w:val="20"/>
          <w:szCs w:val="20"/>
          <w:lang w:val="es-ES"/>
        </w:rPr>
        <w:t>“</w:t>
      </w:r>
      <w:r w:rsidR="005D1096" w:rsidRPr="005D1096">
        <w:rPr>
          <w:b/>
          <w:i/>
          <w:sz w:val="20"/>
          <w:szCs w:val="20"/>
          <w:lang w:val="es-ES"/>
        </w:rPr>
        <w:t xml:space="preserve">Por este medio y en atención a </w:t>
      </w:r>
      <w:r w:rsidR="00C302A1" w:rsidRPr="00F72712">
        <w:rPr>
          <w:b/>
          <w:i/>
          <w:sz w:val="20"/>
          <w:szCs w:val="20"/>
          <w:lang w:val="es-ES"/>
        </w:rPr>
        <w:t>los requerimientos realizados</w:t>
      </w:r>
      <w:r w:rsidR="005D1096" w:rsidRPr="005D1096">
        <w:rPr>
          <w:b/>
          <w:i/>
          <w:sz w:val="20"/>
          <w:szCs w:val="20"/>
          <w:lang w:val="es-ES"/>
        </w:rPr>
        <w:t xml:space="preserve">, me permito informarle que dicha información se encuentra clasificada como “Confidencial”, según Art. 24 de la Ley de Acceso a la Información Pública por lo que esta no puede ser entregada salvo que se trate del solicitante del análisis o </w:t>
      </w:r>
      <w:r w:rsidR="005D1096" w:rsidRPr="007652C3">
        <w:rPr>
          <w:b/>
          <w:i/>
          <w:sz w:val="20"/>
          <w:szCs w:val="20"/>
          <w:u w:val="single"/>
          <w:lang w:val="es-ES"/>
        </w:rPr>
        <w:t>del dueño del producto; para lo cual podrán hacerlo mediante escrito directamente a la Unidad de Control de Calidad en el Pre y Post Registro de Medicamentos (UCCPPRM)</w:t>
      </w:r>
      <w:r w:rsidR="00782D1B" w:rsidRPr="007652C3">
        <w:rPr>
          <w:b/>
          <w:i/>
          <w:sz w:val="20"/>
          <w:szCs w:val="20"/>
          <w:u w:val="single"/>
          <w:lang w:val="es-ES"/>
        </w:rPr>
        <w:t>.</w:t>
      </w:r>
      <w:r w:rsidR="002B3D5A" w:rsidRPr="007652C3">
        <w:rPr>
          <w:b/>
          <w:i/>
          <w:sz w:val="20"/>
          <w:szCs w:val="20"/>
          <w:u w:val="single"/>
          <w:lang w:val="es-ES"/>
        </w:rPr>
        <w:t>”</w:t>
      </w:r>
    </w:p>
    <w:p w14:paraId="26495B8A" w14:textId="77777777" w:rsidR="005D1096" w:rsidRPr="005D1096" w:rsidRDefault="005D1096" w:rsidP="005D1096">
      <w:pPr>
        <w:spacing w:before="100" w:beforeAutospacing="1" w:after="100" w:afterAutospacing="1"/>
        <w:jc w:val="both"/>
        <w:rPr>
          <w:rFonts w:asciiTheme="minorHAnsi" w:eastAsiaTheme="minorHAnsi" w:hAnsiTheme="minorHAnsi" w:cstheme="minorBidi"/>
          <w:sz w:val="20"/>
          <w:szCs w:val="20"/>
          <w:lang w:val="es-SV" w:eastAsia="en-US"/>
        </w:rPr>
      </w:pPr>
      <w:r w:rsidRPr="005D1096">
        <w:rPr>
          <w:rFonts w:asciiTheme="minorHAnsi" w:eastAsiaTheme="minorHAnsi" w:hAnsiTheme="minorHAnsi" w:cstheme="minorBidi"/>
          <w:sz w:val="20"/>
          <w:szCs w:val="20"/>
          <w:lang w:val="es-SV" w:eastAsia="en-US"/>
        </w:rPr>
        <w:t>Notando la suscrita que la información se encuentra clasificada como Confidencial por l</w:t>
      </w:r>
      <w:r>
        <w:rPr>
          <w:rFonts w:asciiTheme="minorHAnsi" w:eastAsiaTheme="minorHAnsi" w:hAnsiTheme="minorHAnsi" w:cstheme="minorBidi"/>
          <w:sz w:val="20"/>
          <w:szCs w:val="20"/>
          <w:lang w:val="es-SV" w:eastAsia="en-US"/>
        </w:rPr>
        <w:t>a Unidad</w:t>
      </w:r>
      <w:r w:rsidRPr="005D1096">
        <w:rPr>
          <w:rFonts w:asciiTheme="minorHAnsi" w:eastAsiaTheme="minorHAnsi" w:hAnsiTheme="minorHAnsi" w:cstheme="minorBidi"/>
          <w:sz w:val="20"/>
          <w:szCs w:val="20"/>
          <w:lang w:val="es-SV" w:eastAsia="en-US"/>
        </w:rPr>
        <w:t xml:space="preserve">; es necesario mencionar lo que el INSTITUTO DE ACCESO A LA INFORMACIÓN PÚBLICA ha dicho al respecto, es así, que en la Resolución con referencia NUE 102-A-2016 (HF) emitida a las diez horas con cincuenta minutos del quince de julio de dos mil dieciséis y otras resoluciones, se estableció: </w:t>
      </w:r>
    </w:p>
    <w:p w14:paraId="674974F4" w14:textId="77777777" w:rsidR="005D1096" w:rsidRPr="005D1096" w:rsidRDefault="005D1096" w:rsidP="005D1096">
      <w:pPr>
        <w:spacing w:before="100" w:beforeAutospacing="1" w:after="100" w:afterAutospacing="1"/>
        <w:jc w:val="both"/>
        <w:rPr>
          <w:rFonts w:asciiTheme="minorHAnsi" w:eastAsia="Arial Unicode MS" w:hAnsiTheme="minorHAnsi" w:cstheme="minorHAnsi"/>
          <w:i/>
          <w:sz w:val="20"/>
          <w:szCs w:val="20"/>
        </w:rPr>
      </w:pPr>
      <w:r w:rsidRPr="005D1096">
        <w:rPr>
          <w:rFonts w:asciiTheme="minorHAnsi" w:eastAsia="Arial Unicode MS" w:hAnsiTheme="minorHAnsi" w:cstheme="minorHAnsi"/>
          <w:sz w:val="20"/>
          <w:szCs w:val="20"/>
        </w:rPr>
        <w:t>“</w:t>
      </w:r>
      <w:r w:rsidRPr="005D1096">
        <w:rPr>
          <w:rFonts w:asciiTheme="minorHAnsi" w:eastAsia="Arial Unicode MS" w:hAnsiTheme="minorHAnsi" w:cstheme="minorHAnsi"/>
          <w:i/>
          <w:sz w:val="20"/>
          <w:szCs w:val="20"/>
        </w:rPr>
        <w:t>El DAIP (</w:t>
      </w:r>
      <w:r w:rsidRPr="005D1096">
        <w:rPr>
          <w:rFonts w:asciiTheme="minorHAnsi" w:eastAsia="Arial Unicode MS" w:hAnsiTheme="minorHAnsi" w:cstheme="minorHAnsi"/>
          <w:sz w:val="20"/>
          <w:szCs w:val="20"/>
        </w:rPr>
        <w:t>Derecho de Acceso a la Información Pública</w:t>
      </w:r>
      <w:r w:rsidRPr="005D1096">
        <w:rPr>
          <w:rFonts w:asciiTheme="minorHAnsi" w:eastAsia="Arial Unicode MS" w:hAnsiTheme="minorHAnsi" w:cstheme="minorHAnsi"/>
          <w:i/>
          <w:sz w:val="20"/>
          <w:szCs w:val="20"/>
        </w:rPr>
        <w:t>), no es absoluto, puesto que es susceptible de restricciones que condicionan su pleno ejercicio, no obstante, los límites del derecho de acceso a la información no pueden ser arbitrarios, sino que deben estar previamente establecidos por el legislador, de esta manera se previene que la Administración Pública utilice discrecionalmente argumentos encaminados a negar la información que solicitan los solicitantes. {…} En el contexto señalado, una de las excepciones al principio de máxima publicidad es la información confidencial que es aquella información privada en poder del Estado cuyo acceso público se prohíbe por mandato constitucional o legal en razón de un interés personal jurídicamente protegido, según el concepto del Art. 6 letra f. de la Ley de Acceso a la Información Pública (LAIP)</w:t>
      </w:r>
    </w:p>
    <w:p w14:paraId="08189AD9" w14:textId="77777777" w:rsidR="005D1096" w:rsidRDefault="005D1096" w:rsidP="005D1096">
      <w:pPr>
        <w:jc w:val="both"/>
        <w:rPr>
          <w:rFonts w:asciiTheme="minorHAnsi" w:hAnsiTheme="minorHAnsi" w:cstheme="minorHAnsi"/>
          <w:sz w:val="20"/>
          <w:szCs w:val="20"/>
        </w:rPr>
      </w:pPr>
      <w:r w:rsidRPr="005D1096">
        <w:rPr>
          <w:rFonts w:asciiTheme="minorHAnsi" w:hAnsiTheme="minorHAnsi" w:cstheme="minorHAnsi"/>
          <w:sz w:val="20"/>
          <w:szCs w:val="20"/>
        </w:rPr>
        <w:lastRenderedPageBreak/>
        <w:t xml:space="preserve">Así mismo, de acuerdo a lo establecido en el artículo 177 de la Ley de Fomento y Protección de la Propiedad Intelectual, </w:t>
      </w:r>
      <w:r w:rsidRPr="005D1096">
        <w:rPr>
          <w:rFonts w:asciiTheme="minorHAnsi" w:hAnsiTheme="minorHAnsi" w:cstheme="minorHAnsi"/>
          <w:i/>
          <w:sz w:val="20"/>
          <w:szCs w:val="20"/>
        </w:rPr>
        <w:t>in fine</w:t>
      </w:r>
      <w:r w:rsidRPr="005D1096">
        <w:rPr>
          <w:rFonts w:asciiTheme="minorHAnsi" w:hAnsiTheme="minorHAnsi" w:cstheme="minorHAnsi"/>
          <w:sz w:val="20"/>
          <w:szCs w:val="20"/>
        </w:rPr>
        <w:t xml:space="preserve">: </w:t>
      </w:r>
      <w:r w:rsidRPr="005D1096">
        <w:rPr>
          <w:rFonts w:asciiTheme="minorHAnsi" w:hAnsiTheme="minorHAnsi" w:cstheme="minorHAnsi"/>
          <w:i/>
          <w:sz w:val="20"/>
          <w:szCs w:val="20"/>
        </w:rPr>
        <w:t>“</w:t>
      </w:r>
      <w:r w:rsidRPr="005D1096">
        <w:rPr>
          <w:rFonts w:asciiTheme="minorHAnsi" w:hAnsiTheme="minorHAnsi" w:cstheme="minorHAnsi"/>
          <w:i/>
          <w:sz w:val="20"/>
          <w:szCs w:val="20"/>
          <w:shd w:val="clear" w:color="auto" w:fill="FAFAFA"/>
        </w:rPr>
        <w:t xml:space="preserve">No se considera que entra al dominio público o que es divulgada por disposición legal, aquella información que sea proporcionada a cualquier autoridad por una persona que la posea como secreto industrial o comercial, cuando la proporcione para el efecto de obtener licencias permisos, autorizaciones, registros o cualesquiera otros actos de autoridad”; </w:t>
      </w:r>
      <w:r w:rsidRPr="005D1096">
        <w:rPr>
          <w:rFonts w:asciiTheme="minorHAnsi" w:hAnsiTheme="minorHAnsi" w:cstheme="minorHAnsi"/>
          <w:sz w:val="20"/>
          <w:szCs w:val="20"/>
        </w:rPr>
        <w:t>en este sentido, la naturaleza de la información solicitada corresponde a la de secreto industrial</w:t>
      </w:r>
      <w:r w:rsidR="00D87C92">
        <w:rPr>
          <w:rFonts w:asciiTheme="minorHAnsi" w:hAnsiTheme="minorHAnsi" w:cstheme="minorHAnsi"/>
          <w:sz w:val="20"/>
          <w:szCs w:val="20"/>
        </w:rPr>
        <w:t xml:space="preserve">. </w:t>
      </w:r>
      <w:r w:rsidRPr="005D1096">
        <w:rPr>
          <w:rFonts w:asciiTheme="minorHAnsi" w:hAnsiTheme="minorHAnsi" w:cstheme="minorHAnsi"/>
          <w:sz w:val="20"/>
          <w:szCs w:val="20"/>
        </w:rPr>
        <w:t xml:space="preserve"> </w:t>
      </w:r>
    </w:p>
    <w:p w14:paraId="32F92105" w14:textId="77777777" w:rsidR="00C302A1" w:rsidRPr="005D1096" w:rsidRDefault="00C302A1" w:rsidP="005D1096">
      <w:pPr>
        <w:jc w:val="both"/>
        <w:rPr>
          <w:rFonts w:asciiTheme="minorHAnsi" w:hAnsiTheme="minorHAnsi" w:cstheme="minorHAnsi"/>
          <w:sz w:val="20"/>
          <w:szCs w:val="20"/>
        </w:rPr>
      </w:pPr>
    </w:p>
    <w:p w14:paraId="1A747A69" w14:textId="77777777" w:rsidR="005D1096" w:rsidRDefault="005D1096" w:rsidP="005D1096">
      <w:pPr>
        <w:pStyle w:val="Sinespaciado"/>
        <w:tabs>
          <w:tab w:val="left" w:pos="8505"/>
        </w:tabs>
        <w:spacing w:line="276" w:lineRule="auto"/>
        <w:jc w:val="both"/>
        <w:rPr>
          <w:sz w:val="20"/>
          <w:szCs w:val="20"/>
        </w:rPr>
      </w:pPr>
      <w:r w:rsidRPr="005D1096">
        <w:rPr>
          <w:rFonts w:cstheme="minorHAnsi"/>
          <w:sz w:val="20"/>
          <w:szCs w:val="20"/>
        </w:rPr>
        <w:t xml:space="preserve">Lo anterior se encuentra ratificado por el Instituto de Acceso a la Información Pública en la Resolución Definitiva del Proceso de Apelación </w:t>
      </w:r>
      <w:r w:rsidRPr="005D1096">
        <w:rPr>
          <w:rFonts w:cstheme="minorHAnsi"/>
          <w:b/>
          <w:sz w:val="20"/>
          <w:szCs w:val="20"/>
        </w:rPr>
        <w:t>Ref. 98-A-2014</w:t>
      </w:r>
      <w:r w:rsidRPr="005D1096">
        <w:rPr>
          <w:rFonts w:cstheme="minorHAnsi"/>
          <w:sz w:val="20"/>
          <w:szCs w:val="20"/>
        </w:rPr>
        <w:t xml:space="preserve"> de fecha 01 de septiembre de 2014; en la cual expresamente se encuentra el siguiente texto: </w:t>
      </w:r>
      <w:r w:rsidRPr="005D1096">
        <w:rPr>
          <w:rFonts w:cstheme="minorHAnsi"/>
          <w:i/>
          <w:sz w:val="20"/>
          <w:szCs w:val="20"/>
        </w:rPr>
        <w:t>Este Instituto confirma que la información</w:t>
      </w:r>
      <w:r w:rsidRPr="00461E7A">
        <w:rPr>
          <w:i/>
          <w:sz w:val="20"/>
          <w:szCs w:val="20"/>
        </w:rPr>
        <w:t xml:space="preserve"> relacionada con la investigación científica desarrollada por laboratorios farmacéuticos y la relativa a las características técnicas y científicas de medicamentos es información que se encuentra protegida por el secreto industrial, puesto que se trata de información de aplicación industrial referente a la naturaleza, características o finalidades de los productos y a los métodos o proceso de producción de empresas farmacéuticas. Por ello, el acceso a información detallada relativa a la fórmula del medicamento y a sus procesos de producción, podría significar una pérdida económica para la empresa farmacéutica que tramitó el registro sanitario y que, además, incurrió en los gastos e inversión necesarios para su investigación y desarrollo. Por lo anterior, este Instituto confirma la clasificación de información relativa a la fórmula del medicamento y sus características técnicas y científicas como información confidencial </w:t>
      </w:r>
      <w:r w:rsidRPr="00461E7A">
        <w:rPr>
          <w:sz w:val="20"/>
          <w:szCs w:val="20"/>
        </w:rPr>
        <w:t>[...]</w:t>
      </w:r>
    </w:p>
    <w:p w14:paraId="0188CD77" w14:textId="77777777" w:rsidR="00C302A1" w:rsidRDefault="00C302A1" w:rsidP="005D1096">
      <w:pPr>
        <w:pStyle w:val="Sinespaciado"/>
        <w:tabs>
          <w:tab w:val="left" w:pos="8505"/>
        </w:tabs>
        <w:spacing w:line="276" w:lineRule="auto"/>
        <w:jc w:val="both"/>
        <w:rPr>
          <w:sz w:val="20"/>
          <w:szCs w:val="20"/>
        </w:rPr>
      </w:pPr>
    </w:p>
    <w:p w14:paraId="783EEDFF" w14:textId="77777777" w:rsidR="00C302A1" w:rsidRPr="00346696" w:rsidRDefault="00C302A1" w:rsidP="005D1096">
      <w:pPr>
        <w:pStyle w:val="Sinespaciado"/>
        <w:tabs>
          <w:tab w:val="left" w:pos="8505"/>
        </w:tabs>
        <w:spacing w:line="276" w:lineRule="auto"/>
        <w:jc w:val="both"/>
        <w:rPr>
          <w:sz w:val="20"/>
          <w:szCs w:val="20"/>
        </w:rPr>
      </w:pPr>
      <w:r>
        <w:rPr>
          <w:sz w:val="20"/>
          <w:szCs w:val="20"/>
        </w:rPr>
        <w:t xml:space="preserve">Y siendo que lo solicitado es un certificado del </w:t>
      </w:r>
      <w:r w:rsidRPr="00C302A1">
        <w:rPr>
          <w:sz w:val="20"/>
          <w:szCs w:val="20"/>
        </w:rPr>
        <w:t xml:space="preserve">análisis emitido por el Laboratorio de Control de Calidad de la Dirección Nacional de Medicamentos, sobre los dispositivos médicos identificados como: catéter venoso 7frde 3 vías y catéter venoso 7fr de 2 vías, marca </w:t>
      </w:r>
      <w:proofErr w:type="spellStart"/>
      <w:r w:rsidRPr="00C302A1">
        <w:rPr>
          <w:sz w:val="20"/>
          <w:szCs w:val="20"/>
        </w:rPr>
        <w:t>Bioflux</w:t>
      </w:r>
      <w:proofErr w:type="spellEnd"/>
      <w:r w:rsidRPr="00C302A1">
        <w:rPr>
          <w:sz w:val="20"/>
          <w:szCs w:val="20"/>
        </w:rPr>
        <w:t xml:space="preserve">, del fabricante </w:t>
      </w:r>
      <w:proofErr w:type="spellStart"/>
      <w:r w:rsidRPr="00C302A1">
        <w:rPr>
          <w:sz w:val="20"/>
          <w:szCs w:val="20"/>
        </w:rPr>
        <w:t>Ebime</w:t>
      </w:r>
      <w:proofErr w:type="spellEnd"/>
      <w:r w:rsidRPr="00C302A1">
        <w:rPr>
          <w:sz w:val="20"/>
          <w:szCs w:val="20"/>
        </w:rPr>
        <w:t>, lotes números: BF21E08, BF21F05 y BF21E10</w:t>
      </w:r>
      <w:r>
        <w:rPr>
          <w:sz w:val="20"/>
          <w:szCs w:val="20"/>
        </w:rPr>
        <w:t>, estos contienen información que vulnera el secreto industrial pues revela características técnicas determinada</w:t>
      </w:r>
      <w:r w:rsidR="00024C90">
        <w:rPr>
          <w:sz w:val="20"/>
          <w:szCs w:val="20"/>
        </w:rPr>
        <w:t>s como información confidencial, la cual solo puede ser del conocimiento del titular de la información</w:t>
      </w:r>
      <w:r w:rsidR="00921321">
        <w:rPr>
          <w:sz w:val="20"/>
          <w:szCs w:val="20"/>
        </w:rPr>
        <w:t xml:space="preserve">. </w:t>
      </w:r>
      <w:r w:rsidR="00024C90">
        <w:rPr>
          <w:sz w:val="20"/>
          <w:szCs w:val="20"/>
        </w:rPr>
        <w:t xml:space="preserve"> </w:t>
      </w:r>
    </w:p>
    <w:p w14:paraId="213D5071" w14:textId="77777777" w:rsidR="005D1096" w:rsidRDefault="005D1096" w:rsidP="005D1096">
      <w:pPr>
        <w:pStyle w:val="Sinespaciado"/>
        <w:jc w:val="both"/>
        <w:rPr>
          <w:color w:val="FF0000"/>
          <w:sz w:val="20"/>
          <w:szCs w:val="20"/>
        </w:rPr>
      </w:pPr>
    </w:p>
    <w:p w14:paraId="4843C75B" w14:textId="77777777" w:rsidR="00542E7F" w:rsidRDefault="00542E7F" w:rsidP="00542E7F">
      <w:pPr>
        <w:pStyle w:val="Sinespaciado"/>
        <w:spacing w:line="276" w:lineRule="auto"/>
        <w:jc w:val="both"/>
        <w:rPr>
          <w:rFonts w:cs="Arial"/>
          <w:sz w:val="20"/>
          <w:szCs w:val="20"/>
          <w:shd w:val="clear" w:color="auto" w:fill="FAFAFA"/>
        </w:rPr>
      </w:pPr>
    </w:p>
    <w:p w14:paraId="6B43D2C3"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23F9617A"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311D48AF"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4B7A205D" w14:textId="77777777" w:rsidR="00CE279A" w:rsidRPr="009A0935" w:rsidRDefault="00CE279A" w:rsidP="009A0935">
      <w:pPr>
        <w:pStyle w:val="Sinespaciado"/>
        <w:spacing w:line="276" w:lineRule="auto"/>
        <w:jc w:val="both"/>
        <w:rPr>
          <w:sz w:val="20"/>
          <w:szCs w:val="20"/>
        </w:rPr>
      </w:pPr>
    </w:p>
    <w:p w14:paraId="273871DE" w14:textId="77777777" w:rsidR="00E91E93" w:rsidRPr="00AC3F49" w:rsidRDefault="00782D1B"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Pr>
          <w:rFonts w:eastAsia="Arial Unicode MS" w:cs="Arial Unicode MS"/>
          <w:b/>
          <w:sz w:val="20"/>
          <w:szCs w:val="20"/>
        </w:rPr>
        <w:t xml:space="preserve">DENIEGUESE </w:t>
      </w:r>
      <w:r w:rsidRPr="00782D1B">
        <w:rPr>
          <w:rFonts w:eastAsia="Arial Unicode MS" w:cs="Arial Unicode MS"/>
          <w:sz w:val="20"/>
          <w:szCs w:val="20"/>
        </w:rPr>
        <w:t>el acceso a</w:t>
      </w:r>
      <w:r>
        <w:rPr>
          <w:rFonts w:eastAsia="Arial Unicode MS" w:cs="Arial Unicode MS"/>
          <w:b/>
          <w:sz w:val="20"/>
          <w:szCs w:val="20"/>
        </w:rPr>
        <w:t xml:space="preserve"> </w:t>
      </w:r>
      <w:r w:rsidR="00E91E93" w:rsidRPr="00AC3F49">
        <w:rPr>
          <w:rFonts w:eastAsia="Arial Unicode MS" w:cs="Arial Unicode MS"/>
          <w:sz w:val="20"/>
          <w:szCs w:val="20"/>
        </w:rPr>
        <w:t xml:space="preserve">la información solicitada </w:t>
      </w:r>
      <w:r>
        <w:rPr>
          <w:rFonts w:eastAsia="Arial Unicode MS" w:cs="Arial Unicode MS"/>
          <w:sz w:val="20"/>
          <w:szCs w:val="20"/>
        </w:rPr>
        <w:t>por las razones antes expuestas</w:t>
      </w:r>
      <w:r w:rsidR="00C302A1">
        <w:rPr>
          <w:rFonts w:eastAsia="Arial Unicode MS" w:cs="Arial Unicode MS"/>
          <w:sz w:val="20"/>
          <w:szCs w:val="20"/>
        </w:rPr>
        <w:t xml:space="preserve"> para la SAIP_2022_003 </w:t>
      </w:r>
      <w:r w:rsidR="00C302A1" w:rsidRPr="00AD0449">
        <w:rPr>
          <w:rFonts w:eastAsia="Arial Unicode MS" w:cs="Arial Unicode MS"/>
          <w:sz w:val="20"/>
          <w:szCs w:val="20"/>
        </w:rPr>
        <w:t>y SAIP_2022_005</w:t>
      </w:r>
    </w:p>
    <w:p w14:paraId="3B752292"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17BC1B79"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lastRenderedPageBreak/>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2676C208"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34FE74EA"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20D7FDD7" w14:textId="77777777" w:rsidR="00CE279A" w:rsidRPr="009A0935" w:rsidRDefault="00CE279A" w:rsidP="00076B8C">
      <w:pPr>
        <w:pStyle w:val="Sinespaciado"/>
        <w:jc w:val="both"/>
        <w:rPr>
          <w:sz w:val="20"/>
          <w:szCs w:val="20"/>
        </w:rPr>
      </w:pPr>
    </w:p>
    <w:p w14:paraId="1931E9DD" w14:textId="77777777" w:rsidR="00CE279A" w:rsidRPr="009A0935" w:rsidRDefault="00CE279A" w:rsidP="009A0935">
      <w:pPr>
        <w:pStyle w:val="Sinespaciado"/>
        <w:spacing w:line="276" w:lineRule="auto"/>
        <w:jc w:val="both"/>
        <w:rPr>
          <w:sz w:val="20"/>
          <w:szCs w:val="20"/>
        </w:rPr>
      </w:pPr>
    </w:p>
    <w:p w14:paraId="2AE58513" w14:textId="77777777" w:rsidR="00CE279A" w:rsidRPr="009A0935" w:rsidRDefault="00CE279A" w:rsidP="009A0935">
      <w:pPr>
        <w:pStyle w:val="Sinespaciado"/>
        <w:spacing w:line="276" w:lineRule="auto"/>
        <w:jc w:val="both"/>
        <w:rPr>
          <w:noProof/>
          <w:sz w:val="20"/>
          <w:szCs w:val="20"/>
          <w:lang w:eastAsia="es-SV"/>
        </w:rPr>
      </w:pPr>
    </w:p>
    <w:p w14:paraId="422EEFD0"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1DB2C419" w14:textId="77777777" w:rsidR="00327B55" w:rsidRDefault="00327B55" w:rsidP="00556ACA">
      <w:pPr>
        <w:pStyle w:val="Sinespaciado"/>
        <w:spacing w:line="276" w:lineRule="auto"/>
        <w:jc w:val="center"/>
        <w:rPr>
          <w:sz w:val="20"/>
          <w:szCs w:val="20"/>
        </w:rPr>
      </w:pPr>
      <w:r>
        <w:rPr>
          <w:sz w:val="20"/>
          <w:szCs w:val="20"/>
        </w:rPr>
        <w:t>Licda. Daysi Concepción Orellana de Larin</w:t>
      </w:r>
    </w:p>
    <w:p w14:paraId="6E19BC22"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7ABF" w14:textId="77777777" w:rsidR="002E5283" w:rsidRDefault="002E5283" w:rsidP="003C57CE">
      <w:r>
        <w:separator/>
      </w:r>
    </w:p>
  </w:endnote>
  <w:endnote w:type="continuationSeparator" w:id="0">
    <w:p w14:paraId="0400DF2D"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685F" w14:textId="77777777" w:rsidR="002E5283" w:rsidRDefault="002E5283" w:rsidP="003C57CE">
      <w:r>
        <w:separator/>
      </w:r>
    </w:p>
  </w:footnote>
  <w:footnote w:type="continuationSeparator" w:id="0">
    <w:p w14:paraId="388A2E9B"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B36A"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2D8778C" wp14:editId="156EE4B1">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098DB5"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D8778C"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75098DB5"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5A4821EE" wp14:editId="1C4A9A2E">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9F1"/>
    <w:multiLevelType w:val="hybridMultilevel"/>
    <w:tmpl w:val="A66E47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0543EB5"/>
    <w:multiLevelType w:val="hybridMultilevel"/>
    <w:tmpl w:val="0FAA480E"/>
    <w:lvl w:ilvl="0" w:tplc="63C884D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6444B"/>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2120757291">
    <w:abstractNumId w:val="11"/>
  </w:num>
  <w:num w:numId="2" w16cid:durableId="1203712205">
    <w:abstractNumId w:val="3"/>
  </w:num>
  <w:num w:numId="3" w16cid:durableId="204566841">
    <w:abstractNumId w:val="9"/>
  </w:num>
  <w:num w:numId="4" w16cid:durableId="1198662025">
    <w:abstractNumId w:val="1"/>
  </w:num>
  <w:num w:numId="5" w16cid:durableId="65537262">
    <w:abstractNumId w:val="2"/>
  </w:num>
  <w:num w:numId="6" w16cid:durableId="2070037555">
    <w:abstractNumId w:val="13"/>
  </w:num>
  <w:num w:numId="7" w16cid:durableId="1428500766">
    <w:abstractNumId w:val="12"/>
  </w:num>
  <w:num w:numId="8" w16cid:durableId="2097288222">
    <w:abstractNumId w:val="8"/>
  </w:num>
  <w:num w:numId="9" w16cid:durableId="892884048">
    <w:abstractNumId w:val="4"/>
  </w:num>
  <w:num w:numId="10" w16cid:durableId="742146790">
    <w:abstractNumId w:val="6"/>
  </w:num>
  <w:num w:numId="11" w16cid:durableId="156191852">
    <w:abstractNumId w:val="7"/>
  </w:num>
  <w:num w:numId="12" w16cid:durableId="241641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7227681">
    <w:abstractNumId w:val="0"/>
  </w:num>
  <w:num w:numId="14" w16cid:durableId="613827550">
    <w:abstractNumId w:val="5"/>
  </w:num>
  <w:num w:numId="15" w16cid:durableId="2150928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24C90"/>
    <w:rsid w:val="000511E5"/>
    <w:rsid w:val="00054B4C"/>
    <w:rsid w:val="00076B8C"/>
    <w:rsid w:val="000A1C47"/>
    <w:rsid w:val="00100DDC"/>
    <w:rsid w:val="001131F5"/>
    <w:rsid w:val="00135C52"/>
    <w:rsid w:val="00145CCF"/>
    <w:rsid w:val="00180F31"/>
    <w:rsid w:val="00196C77"/>
    <w:rsid w:val="001B3C16"/>
    <w:rsid w:val="001C07EE"/>
    <w:rsid w:val="00202512"/>
    <w:rsid w:val="00213E6E"/>
    <w:rsid w:val="00217AC8"/>
    <w:rsid w:val="00265C86"/>
    <w:rsid w:val="002833A5"/>
    <w:rsid w:val="00283E09"/>
    <w:rsid w:val="00285061"/>
    <w:rsid w:val="002A19FA"/>
    <w:rsid w:val="002B3D5A"/>
    <w:rsid w:val="002D69AE"/>
    <w:rsid w:val="002E5283"/>
    <w:rsid w:val="00327B55"/>
    <w:rsid w:val="00334240"/>
    <w:rsid w:val="003570D9"/>
    <w:rsid w:val="0037371A"/>
    <w:rsid w:val="003A6ECA"/>
    <w:rsid w:val="003C3037"/>
    <w:rsid w:val="003C57CE"/>
    <w:rsid w:val="004009C3"/>
    <w:rsid w:val="00403ACC"/>
    <w:rsid w:val="0043264D"/>
    <w:rsid w:val="004700A4"/>
    <w:rsid w:val="00471650"/>
    <w:rsid w:val="004775E0"/>
    <w:rsid w:val="00492ED7"/>
    <w:rsid w:val="00493AC0"/>
    <w:rsid w:val="00501516"/>
    <w:rsid w:val="005172B7"/>
    <w:rsid w:val="00523722"/>
    <w:rsid w:val="00537D4A"/>
    <w:rsid w:val="00542E7F"/>
    <w:rsid w:val="00556ACA"/>
    <w:rsid w:val="00556C4B"/>
    <w:rsid w:val="0057269E"/>
    <w:rsid w:val="0057546B"/>
    <w:rsid w:val="00595CCE"/>
    <w:rsid w:val="005974B2"/>
    <w:rsid w:val="005976B3"/>
    <w:rsid w:val="005B7F37"/>
    <w:rsid w:val="005C53F3"/>
    <w:rsid w:val="005D1096"/>
    <w:rsid w:val="005D2196"/>
    <w:rsid w:val="005F1338"/>
    <w:rsid w:val="00603EF7"/>
    <w:rsid w:val="00623878"/>
    <w:rsid w:val="006748C6"/>
    <w:rsid w:val="006754DB"/>
    <w:rsid w:val="00683608"/>
    <w:rsid w:val="006A5550"/>
    <w:rsid w:val="006C04ED"/>
    <w:rsid w:val="00712AA0"/>
    <w:rsid w:val="00723C0E"/>
    <w:rsid w:val="00755D58"/>
    <w:rsid w:val="007652C3"/>
    <w:rsid w:val="0077506D"/>
    <w:rsid w:val="00782D1B"/>
    <w:rsid w:val="007E0653"/>
    <w:rsid w:val="007F2596"/>
    <w:rsid w:val="008374E3"/>
    <w:rsid w:val="00850E50"/>
    <w:rsid w:val="00854042"/>
    <w:rsid w:val="00862133"/>
    <w:rsid w:val="00884A2E"/>
    <w:rsid w:val="008A048A"/>
    <w:rsid w:val="008A5C39"/>
    <w:rsid w:val="008C6D82"/>
    <w:rsid w:val="008D0BD9"/>
    <w:rsid w:val="00906A1D"/>
    <w:rsid w:val="00921321"/>
    <w:rsid w:val="00934A02"/>
    <w:rsid w:val="009A0935"/>
    <w:rsid w:val="009A2A23"/>
    <w:rsid w:val="00A22CBC"/>
    <w:rsid w:val="00A22D93"/>
    <w:rsid w:val="00A334E6"/>
    <w:rsid w:val="00A63001"/>
    <w:rsid w:val="00A760BC"/>
    <w:rsid w:val="00AA0534"/>
    <w:rsid w:val="00AB37E5"/>
    <w:rsid w:val="00AD0449"/>
    <w:rsid w:val="00AD0E61"/>
    <w:rsid w:val="00B100B5"/>
    <w:rsid w:val="00B54BA5"/>
    <w:rsid w:val="00B55707"/>
    <w:rsid w:val="00BA5FA6"/>
    <w:rsid w:val="00C03BB5"/>
    <w:rsid w:val="00C23DF3"/>
    <w:rsid w:val="00C302A1"/>
    <w:rsid w:val="00CC1206"/>
    <w:rsid w:val="00CC2388"/>
    <w:rsid w:val="00CE279A"/>
    <w:rsid w:val="00D06DF5"/>
    <w:rsid w:val="00D30BE3"/>
    <w:rsid w:val="00D30F1F"/>
    <w:rsid w:val="00D457C7"/>
    <w:rsid w:val="00D516C4"/>
    <w:rsid w:val="00D64AA4"/>
    <w:rsid w:val="00D87C92"/>
    <w:rsid w:val="00DC21E0"/>
    <w:rsid w:val="00DD5572"/>
    <w:rsid w:val="00DE2E94"/>
    <w:rsid w:val="00DF09FA"/>
    <w:rsid w:val="00E22349"/>
    <w:rsid w:val="00E5442E"/>
    <w:rsid w:val="00E919DC"/>
    <w:rsid w:val="00E91E93"/>
    <w:rsid w:val="00EA2A39"/>
    <w:rsid w:val="00ED23BF"/>
    <w:rsid w:val="00EE6814"/>
    <w:rsid w:val="00F267B6"/>
    <w:rsid w:val="00F27F1B"/>
    <w:rsid w:val="00F327E1"/>
    <w:rsid w:val="00F33FD1"/>
    <w:rsid w:val="00F50903"/>
    <w:rsid w:val="00F65E20"/>
    <w:rsid w:val="00F72712"/>
    <w:rsid w:val="00FA60C8"/>
    <w:rsid w:val="00FE76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85641F"/>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436486340">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295598028">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1530</Words>
  <Characters>8416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Orellana</cp:lastModifiedBy>
  <cp:revision>3</cp:revision>
  <cp:lastPrinted>2022-01-31T21:02:00Z</cp:lastPrinted>
  <dcterms:created xsi:type="dcterms:W3CDTF">2022-08-23T19:51:00Z</dcterms:created>
  <dcterms:modified xsi:type="dcterms:W3CDTF">2022-08-23T19:53:00Z</dcterms:modified>
</cp:coreProperties>
</file>