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C84" w14:textId="45658914" w:rsidR="00AC6D85" w:rsidRDefault="00AC6D85"/>
    <w:p w14:paraId="7E47EF3A" w14:textId="4020576D" w:rsidR="00FB7AFC" w:rsidRDefault="00FB7AFC" w:rsidP="00FB7AFC">
      <w:pPr>
        <w:keepNext/>
        <w:spacing w:after="200" w:line="276" w:lineRule="auto"/>
        <w:jc w:val="center"/>
        <w:rPr>
          <w:rFonts w:asciiTheme="majorHAnsi" w:eastAsia="Cambria" w:hAnsiTheme="majorHAnsi" w:cstheme="majorHAnsi"/>
          <w:b/>
          <w:sz w:val="24"/>
          <w:szCs w:val="24"/>
        </w:rPr>
      </w:pPr>
      <w:r>
        <w:rPr>
          <w:rFonts w:ascii="Liberation Serif" w:hAnsi="Liberation Serif"/>
          <w:noProof/>
          <w:lang w:val="en-US"/>
        </w:rPr>
        <w:drawing>
          <wp:anchor distT="0" distB="0" distL="114300" distR="114300" simplePos="0" relativeHeight="251660288" behindDoc="0" locked="0" layoutInCell="1" allowOverlap="1" wp14:anchorId="4F968AD9" wp14:editId="203DC412">
            <wp:simplePos x="0" y="0"/>
            <wp:positionH relativeFrom="margin">
              <wp:posOffset>2730844</wp:posOffset>
            </wp:positionH>
            <wp:positionV relativeFrom="paragraph">
              <wp:posOffset>215712</wp:posOffset>
            </wp:positionV>
            <wp:extent cx="3566160" cy="1615440"/>
            <wp:effectExtent l="0" t="0" r="0" b="3810"/>
            <wp:wrapTopAndBottom/>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3566160" cy="1615440"/>
                    </a:xfrm>
                    <a:prstGeom prst="rect">
                      <a:avLst/>
                    </a:prstGeom>
                  </pic:spPr>
                </pic:pic>
              </a:graphicData>
            </a:graphic>
            <wp14:sizeRelH relativeFrom="margin">
              <wp14:pctWidth>0</wp14:pctWidth>
            </wp14:sizeRelH>
            <wp14:sizeRelV relativeFrom="margin">
              <wp14:pctHeight>0</wp14:pctHeight>
            </wp14:sizeRelV>
          </wp:anchor>
        </w:drawing>
      </w:r>
    </w:p>
    <w:p w14:paraId="28B17A89" w14:textId="77777777" w:rsidR="00FB7AFC" w:rsidRDefault="00FB7AFC" w:rsidP="00FB7AFC">
      <w:pPr>
        <w:keepNext/>
        <w:spacing w:after="200" w:line="276" w:lineRule="auto"/>
        <w:jc w:val="center"/>
        <w:rPr>
          <w:rFonts w:asciiTheme="majorHAnsi" w:eastAsia="Cambria" w:hAnsiTheme="majorHAnsi" w:cstheme="majorHAnsi"/>
          <w:b/>
          <w:sz w:val="24"/>
          <w:szCs w:val="24"/>
        </w:rPr>
      </w:pPr>
    </w:p>
    <w:p w14:paraId="3BB693FD" w14:textId="77777777" w:rsidR="00FB7AFC" w:rsidRPr="00892F54" w:rsidRDefault="00FB7AFC" w:rsidP="00FB7AFC">
      <w:pPr>
        <w:keepNext/>
        <w:spacing w:after="200" w:line="360" w:lineRule="auto"/>
        <w:jc w:val="center"/>
        <w:rPr>
          <w:rFonts w:asciiTheme="majorHAnsi" w:eastAsia="Cambria" w:hAnsiTheme="majorHAnsi" w:cstheme="majorHAnsi"/>
          <w:b/>
          <w:sz w:val="44"/>
          <w:szCs w:val="44"/>
        </w:rPr>
      </w:pPr>
      <w:r w:rsidRPr="00892F54">
        <w:rPr>
          <w:rFonts w:asciiTheme="majorHAnsi" w:eastAsia="Cambria" w:hAnsiTheme="majorHAnsi" w:cstheme="majorHAnsi"/>
          <w:b/>
          <w:sz w:val="44"/>
          <w:szCs w:val="44"/>
        </w:rPr>
        <w:t>HOSPITAL NACIONAL DE LA UNION</w:t>
      </w:r>
    </w:p>
    <w:p w14:paraId="66582FEB" w14:textId="1E60E571" w:rsidR="00FB7AFC" w:rsidRDefault="00FB7AFC" w:rsidP="00FB7AFC">
      <w:pPr>
        <w:keepNext/>
        <w:spacing w:after="200" w:line="360" w:lineRule="auto"/>
        <w:jc w:val="center"/>
        <w:rPr>
          <w:rFonts w:asciiTheme="majorHAnsi" w:eastAsia="Cambria" w:hAnsiTheme="majorHAnsi" w:cstheme="majorHAnsi"/>
          <w:b/>
          <w:sz w:val="44"/>
          <w:szCs w:val="44"/>
        </w:rPr>
      </w:pPr>
      <w:r w:rsidRPr="00892F54">
        <w:rPr>
          <w:rFonts w:asciiTheme="majorHAnsi" w:eastAsia="Cambria" w:hAnsiTheme="majorHAnsi" w:cstheme="majorHAnsi"/>
          <w:b/>
          <w:sz w:val="44"/>
          <w:szCs w:val="44"/>
        </w:rPr>
        <w:t>EVALUACI</w:t>
      </w:r>
      <w:r>
        <w:rPr>
          <w:rFonts w:asciiTheme="majorHAnsi" w:eastAsia="Cambria" w:hAnsiTheme="majorHAnsi" w:cstheme="majorHAnsi"/>
          <w:b/>
          <w:sz w:val="44"/>
          <w:szCs w:val="44"/>
        </w:rPr>
        <w:t>Ó</w:t>
      </w:r>
      <w:r w:rsidRPr="00892F54">
        <w:rPr>
          <w:rFonts w:asciiTheme="majorHAnsi" w:eastAsia="Cambria" w:hAnsiTheme="majorHAnsi" w:cstheme="majorHAnsi"/>
          <w:b/>
          <w:sz w:val="44"/>
          <w:szCs w:val="44"/>
        </w:rPr>
        <w:t>N DE LA PLA</w:t>
      </w:r>
      <w:r>
        <w:rPr>
          <w:rFonts w:asciiTheme="majorHAnsi" w:eastAsia="Cambria" w:hAnsiTheme="majorHAnsi" w:cstheme="majorHAnsi"/>
          <w:b/>
          <w:sz w:val="44"/>
          <w:szCs w:val="44"/>
        </w:rPr>
        <w:t>NIFICACIÓN OPERATIVA ANUAL 2022</w:t>
      </w:r>
    </w:p>
    <w:p w14:paraId="26D86815" w14:textId="1D7C8106" w:rsidR="00FB7AFC" w:rsidRDefault="00FB7AFC" w:rsidP="00FB7AFC">
      <w:pPr>
        <w:keepNext/>
        <w:spacing w:after="200" w:line="360" w:lineRule="auto"/>
        <w:jc w:val="center"/>
        <w:rPr>
          <w:rFonts w:asciiTheme="majorHAnsi" w:eastAsia="Cambria" w:hAnsiTheme="majorHAnsi" w:cstheme="majorHAnsi"/>
          <w:b/>
          <w:sz w:val="44"/>
          <w:szCs w:val="44"/>
        </w:rPr>
      </w:pPr>
      <w:r w:rsidRPr="00892F54">
        <w:rPr>
          <w:rFonts w:asciiTheme="majorHAnsi" w:eastAsia="Cambria" w:hAnsiTheme="majorHAnsi" w:cstheme="majorHAnsi"/>
          <w:b/>
          <w:sz w:val="44"/>
          <w:szCs w:val="44"/>
        </w:rPr>
        <w:t xml:space="preserve">PERIODO DE ENERO – </w:t>
      </w:r>
      <w:r>
        <w:rPr>
          <w:rFonts w:asciiTheme="majorHAnsi" w:eastAsia="Cambria" w:hAnsiTheme="majorHAnsi" w:cstheme="majorHAnsi"/>
          <w:b/>
          <w:sz w:val="44"/>
          <w:szCs w:val="44"/>
        </w:rPr>
        <w:t>JUNIO 2022</w:t>
      </w:r>
      <w:r>
        <w:rPr>
          <w:rFonts w:ascii="Times New Roman" w:hAnsi="Times New Roman"/>
          <w:noProof/>
          <w:sz w:val="52"/>
          <w:szCs w:val="52"/>
          <w:lang w:val="en-US"/>
        </w:rPr>
        <w:drawing>
          <wp:anchor distT="0" distB="0" distL="114300" distR="114300" simplePos="0" relativeHeight="251661312" behindDoc="1" locked="0" layoutInCell="1" allowOverlap="1" wp14:anchorId="510B513A" wp14:editId="0ECC7A42">
            <wp:simplePos x="0" y="0"/>
            <wp:positionH relativeFrom="margin">
              <wp:posOffset>6768414</wp:posOffset>
            </wp:positionH>
            <wp:positionV relativeFrom="paragraph">
              <wp:posOffset>552553</wp:posOffset>
            </wp:positionV>
            <wp:extent cx="2054431" cy="1762730"/>
            <wp:effectExtent l="0" t="0" r="317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r lopez OI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4431" cy="1762730"/>
                    </a:xfrm>
                    <a:prstGeom prst="rect">
                      <a:avLst/>
                    </a:prstGeom>
                  </pic:spPr>
                </pic:pic>
              </a:graphicData>
            </a:graphic>
            <wp14:sizeRelH relativeFrom="page">
              <wp14:pctWidth>0</wp14:pctWidth>
            </wp14:sizeRelH>
            <wp14:sizeRelV relativeFrom="page">
              <wp14:pctHeight>0</wp14:pctHeight>
            </wp14:sizeRelV>
          </wp:anchor>
        </w:drawing>
      </w:r>
    </w:p>
    <w:p w14:paraId="5C674CC2" w14:textId="77777777" w:rsidR="00FB7AFC" w:rsidRDefault="00FB7AFC" w:rsidP="00FB7AFC">
      <w:pPr>
        <w:keepNext/>
        <w:spacing w:after="200" w:line="360" w:lineRule="auto"/>
        <w:jc w:val="center"/>
        <w:rPr>
          <w:rFonts w:asciiTheme="majorHAnsi" w:eastAsia="Cambria" w:hAnsiTheme="majorHAnsi" w:cstheme="majorHAnsi"/>
          <w:b/>
          <w:sz w:val="44"/>
          <w:szCs w:val="44"/>
        </w:rPr>
      </w:pPr>
    </w:p>
    <w:p w14:paraId="571DAF57" w14:textId="77777777" w:rsidR="00FB7AFC" w:rsidRPr="00892F54" w:rsidRDefault="00FB7AFC" w:rsidP="00FB7AFC">
      <w:pPr>
        <w:keepNext/>
        <w:spacing w:after="200"/>
        <w:jc w:val="center"/>
        <w:rPr>
          <w:rFonts w:asciiTheme="majorHAnsi" w:eastAsia="Cambria" w:hAnsiTheme="majorHAnsi" w:cstheme="majorHAnsi"/>
          <w:b/>
          <w:sz w:val="44"/>
          <w:szCs w:val="44"/>
        </w:rPr>
      </w:pPr>
      <w:r w:rsidRPr="00892F54">
        <w:rPr>
          <w:rFonts w:asciiTheme="majorHAnsi" w:eastAsia="Cambria" w:hAnsiTheme="majorHAnsi" w:cstheme="majorHAnsi"/>
          <w:b/>
          <w:sz w:val="44"/>
          <w:szCs w:val="44"/>
        </w:rPr>
        <w:t>DR. CARLOS ALBERTO LOPEZ MOJICA</w:t>
      </w:r>
    </w:p>
    <w:p w14:paraId="28DC81E9" w14:textId="77777777" w:rsidR="00FB7AFC" w:rsidRPr="00892F54" w:rsidRDefault="00FB7AFC" w:rsidP="00FB7AFC">
      <w:pPr>
        <w:keepNext/>
        <w:spacing w:after="200"/>
        <w:jc w:val="center"/>
        <w:rPr>
          <w:rFonts w:asciiTheme="majorHAnsi" w:eastAsia="Cambria" w:hAnsiTheme="majorHAnsi" w:cstheme="majorHAnsi"/>
          <w:b/>
          <w:sz w:val="44"/>
          <w:szCs w:val="44"/>
        </w:rPr>
      </w:pPr>
      <w:r w:rsidRPr="00892F54">
        <w:rPr>
          <w:rFonts w:asciiTheme="majorHAnsi" w:eastAsia="Cambria" w:hAnsiTheme="majorHAnsi" w:cstheme="majorHAnsi"/>
          <w:b/>
          <w:sz w:val="44"/>
          <w:szCs w:val="44"/>
        </w:rPr>
        <w:t>DIRECTOR</w:t>
      </w:r>
    </w:p>
    <w:p w14:paraId="63489C9B" w14:textId="73ACC610" w:rsidR="00FB7AFC" w:rsidRDefault="00FB7AFC" w:rsidP="00FB7AFC">
      <w:pPr>
        <w:jc w:val="center"/>
      </w:pPr>
    </w:p>
    <w:p w14:paraId="46375942" w14:textId="4C6E7202" w:rsidR="00FB7AFC" w:rsidRDefault="00FB7AFC"/>
    <w:p w14:paraId="4418A4B9" w14:textId="77777777" w:rsidR="00FB7AFC" w:rsidRDefault="00FB7AFC"/>
    <w:p w14:paraId="40691A90" w14:textId="1B2CE027" w:rsidR="00FB7AFC" w:rsidRDefault="00FB7AFC"/>
    <w:tbl>
      <w:tblPr>
        <w:tblW w:w="14552" w:type="dxa"/>
        <w:tblCellMar>
          <w:left w:w="70" w:type="dxa"/>
          <w:right w:w="70" w:type="dxa"/>
        </w:tblCellMar>
        <w:tblLook w:val="04A0" w:firstRow="1" w:lastRow="0" w:firstColumn="1" w:lastColumn="0" w:noHBand="0" w:noVBand="1"/>
      </w:tblPr>
      <w:tblGrid>
        <w:gridCol w:w="615"/>
        <w:gridCol w:w="3202"/>
        <w:gridCol w:w="1731"/>
        <w:gridCol w:w="1092"/>
        <w:gridCol w:w="1848"/>
        <w:gridCol w:w="582"/>
        <w:gridCol w:w="560"/>
        <w:gridCol w:w="649"/>
        <w:gridCol w:w="460"/>
        <w:gridCol w:w="560"/>
        <w:gridCol w:w="649"/>
        <w:gridCol w:w="460"/>
        <w:gridCol w:w="2138"/>
        <w:gridCol w:w="6"/>
      </w:tblGrid>
      <w:tr w:rsidR="00FB7AFC" w:rsidRPr="00FD0593" w14:paraId="3C061D1D" w14:textId="77777777" w:rsidTr="00526022">
        <w:trPr>
          <w:trHeight w:val="311"/>
        </w:trPr>
        <w:tc>
          <w:tcPr>
            <w:tcW w:w="13962" w:type="dxa"/>
            <w:gridSpan w:val="14"/>
            <w:tcBorders>
              <w:top w:val="single" w:sz="4" w:space="0" w:color="000000"/>
              <w:left w:val="single" w:sz="4" w:space="0" w:color="000000"/>
              <w:bottom w:val="nil"/>
              <w:right w:val="single" w:sz="4" w:space="0" w:color="000000"/>
            </w:tcBorders>
            <w:shd w:val="clear" w:color="auto" w:fill="D9E2F3" w:themeFill="accent1" w:themeFillTint="33"/>
            <w:hideMark/>
          </w:tcPr>
          <w:p w14:paraId="1E86FF8A" w14:textId="77777777" w:rsidR="00FB7AFC" w:rsidRPr="00FD0593" w:rsidRDefault="00FB7AFC" w:rsidP="00526022">
            <w:pPr>
              <w:spacing w:after="0" w:line="240" w:lineRule="auto"/>
              <w:jc w:val="center"/>
              <w:rPr>
                <w:rFonts w:ascii="Calibri" w:eastAsia="Times New Roman" w:hAnsi="Calibri" w:cs="Calibri"/>
                <w:b/>
                <w:bCs/>
                <w:color w:val="000001"/>
                <w:sz w:val="24"/>
                <w:szCs w:val="24"/>
                <w:lang w:eastAsia="es-SV"/>
              </w:rPr>
            </w:pPr>
            <w:r w:rsidRPr="00FD0593">
              <w:rPr>
                <w:rFonts w:ascii="Calibri" w:eastAsia="Times New Roman" w:hAnsi="Calibri" w:cs="Calibri"/>
                <w:b/>
                <w:bCs/>
                <w:color w:val="000001"/>
                <w:sz w:val="24"/>
                <w:szCs w:val="24"/>
                <w:lang w:eastAsia="es-SV"/>
              </w:rPr>
              <w:t>MINISTERIO DE SALUD</w:t>
            </w:r>
          </w:p>
        </w:tc>
      </w:tr>
      <w:tr w:rsidR="00FB7AFC" w:rsidRPr="00FD0593" w14:paraId="4203D5CB" w14:textId="77777777" w:rsidTr="00526022">
        <w:trPr>
          <w:trHeight w:val="311"/>
        </w:trPr>
        <w:tc>
          <w:tcPr>
            <w:tcW w:w="13962" w:type="dxa"/>
            <w:gridSpan w:val="14"/>
            <w:tcBorders>
              <w:top w:val="nil"/>
              <w:left w:val="single" w:sz="4" w:space="0" w:color="000000"/>
              <w:bottom w:val="nil"/>
              <w:right w:val="single" w:sz="4" w:space="0" w:color="000000"/>
            </w:tcBorders>
            <w:shd w:val="clear" w:color="auto" w:fill="D9E2F3" w:themeFill="accent1" w:themeFillTint="33"/>
            <w:hideMark/>
          </w:tcPr>
          <w:p w14:paraId="5197A78E" w14:textId="77777777" w:rsidR="00FB7AFC" w:rsidRPr="00FD0593" w:rsidRDefault="00FB7AFC" w:rsidP="00526022">
            <w:pPr>
              <w:spacing w:after="0" w:line="240" w:lineRule="auto"/>
              <w:jc w:val="center"/>
              <w:rPr>
                <w:rFonts w:ascii="Calibri" w:eastAsia="Times New Roman" w:hAnsi="Calibri" w:cs="Calibri"/>
                <w:b/>
                <w:bCs/>
                <w:color w:val="000001"/>
                <w:sz w:val="24"/>
                <w:szCs w:val="24"/>
                <w:lang w:eastAsia="es-SV"/>
              </w:rPr>
            </w:pPr>
            <w:r w:rsidRPr="00FD0593">
              <w:rPr>
                <w:rFonts w:ascii="Calibri" w:eastAsia="Times New Roman" w:hAnsi="Calibri" w:cs="Calibri"/>
                <w:b/>
                <w:bCs/>
                <w:color w:val="000001"/>
                <w:sz w:val="24"/>
                <w:szCs w:val="24"/>
                <w:lang w:eastAsia="es-SV"/>
              </w:rPr>
              <w:t>Plan Operativo Anual 2022</w:t>
            </w:r>
          </w:p>
        </w:tc>
      </w:tr>
      <w:tr w:rsidR="00FB7AFC" w:rsidRPr="00FD0593" w14:paraId="77713BC9" w14:textId="77777777" w:rsidTr="00526022">
        <w:trPr>
          <w:trHeight w:val="311"/>
        </w:trPr>
        <w:tc>
          <w:tcPr>
            <w:tcW w:w="13962" w:type="dxa"/>
            <w:gridSpan w:val="14"/>
            <w:tcBorders>
              <w:top w:val="single" w:sz="4" w:space="0" w:color="000001"/>
              <w:left w:val="single" w:sz="4" w:space="0" w:color="000000"/>
              <w:bottom w:val="single" w:sz="4" w:space="0" w:color="000001"/>
              <w:right w:val="single" w:sz="4" w:space="0" w:color="000000"/>
            </w:tcBorders>
            <w:shd w:val="clear" w:color="auto" w:fill="D9E2F3" w:themeFill="accent1" w:themeFillTint="33"/>
            <w:hideMark/>
          </w:tcPr>
          <w:p w14:paraId="282D931B" w14:textId="77777777" w:rsidR="00FB7AFC" w:rsidRPr="00FD0593" w:rsidRDefault="00FB7AFC" w:rsidP="00526022">
            <w:pPr>
              <w:spacing w:after="0" w:line="240" w:lineRule="auto"/>
              <w:jc w:val="center"/>
              <w:rPr>
                <w:rFonts w:ascii="Calibri" w:eastAsia="Times New Roman" w:hAnsi="Calibri" w:cs="Calibri"/>
                <w:b/>
                <w:bCs/>
                <w:color w:val="000001"/>
                <w:sz w:val="24"/>
                <w:szCs w:val="24"/>
                <w:lang w:eastAsia="es-SV"/>
              </w:rPr>
            </w:pPr>
            <w:r w:rsidRPr="00FD0593">
              <w:rPr>
                <w:rFonts w:ascii="Calibri" w:eastAsia="Times New Roman" w:hAnsi="Calibri" w:cs="Calibri"/>
                <w:b/>
                <w:bCs/>
                <w:color w:val="000001"/>
                <w:sz w:val="24"/>
                <w:szCs w:val="24"/>
                <w:lang w:eastAsia="es-SV"/>
              </w:rPr>
              <w:t>PROGRAMACIÓN DE ACTIVIDADES DE GESTIÓN</w:t>
            </w:r>
          </w:p>
        </w:tc>
      </w:tr>
      <w:tr w:rsidR="00FB7AFC" w:rsidRPr="00FD0593" w14:paraId="36A8F87D" w14:textId="77777777" w:rsidTr="00526022">
        <w:trPr>
          <w:gridAfter w:val="1"/>
          <w:wAfter w:w="6" w:type="dxa"/>
          <w:trHeight w:val="297"/>
        </w:trPr>
        <w:tc>
          <w:tcPr>
            <w:tcW w:w="591" w:type="dxa"/>
            <w:vMerge w:val="restart"/>
            <w:tcBorders>
              <w:top w:val="nil"/>
              <w:left w:val="single" w:sz="4" w:space="0" w:color="000000"/>
              <w:bottom w:val="single" w:sz="4" w:space="0" w:color="000001"/>
              <w:right w:val="single" w:sz="4" w:space="0" w:color="000001"/>
            </w:tcBorders>
            <w:shd w:val="clear" w:color="auto" w:fill="D9E2F3" w:themeFill="accent1" w:themeFillTint="33"/>
            <w:hideMark/>
          </w:tcPr>
          <w:p w14:paraId="4E0F8B13" w14:textId="77777777" w:rsidR="00FB7AFC" w:rsidRPr="00FD0593" w:rsidRDefault="00FB7AFC" w:rsidP="00526022">
            <w:pPr>
              <w:spacing w:after="0" w:line="240" w:lineRule="auto"/>
              <w:jc w:val="center"/>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N.</w:t>
            </w:r>
          </w:p>
        </w:tc>
        <w:tc>
          <w:tcPr>
            <w:tcW w:w="3072" w:type="dxa"/>
            <w:vMerge w:val="restart"/>
            <w:tcBorders>
              <w:top w:val="nil"/>
              <w:left w:val="single" w:sz="4" w:space="0" w:color="000001"/>
              <w:bottom w:val="single" w:sz="4" w:space="0" w:color="000001"/>
              <w:right w:val="single" w:sz="4" w:space="0" w:color="000001"/>
            </w:tcBorders>
            <w:shd w:val="clear" w:color="auto" w:fill="D9E2F3" w:themeFill="accent1" w:themeFillTint="33"/>
            <w:hideMark/>
          </w:tcPr>
          <w:p w14:paraId="455737E3" w14:textId="77777777" w:rsidR="00FB7AFC" w:rsidRPr="00FD0593" w:rsidRDefault="00FB7AFC" w:rsidP="00526022">
            <w:pPr>
              <w:spacing w:after="0" w:line="240" w:lineRule="auto"/>
              <w:jc w:val="center"/>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Hospital Nacional La Unión</w:t>
            </w:r>
          </w:p>
        </w:tc>
        <w:tc>
          <w:tcPr>
            <w:tcW w:w="1661" w:type="dxa"/>
            <w:vMerge w:val="restart"/>
            <w:tcBorders>
              <w:top w:val="nil"/>
              <w:left w:val="single" w:sz="4" w:space="0" w:color="000001"/>
              <w:bottom w:val="single" w:sz="4" w:space="0" w:color="000001"/>
              <w:right w:val="single" w:sz="4" w:space="0" w:color="000001"/>
            </w:tcBorders>
            <w:shd w:val="clear" w:color="auto" w:fill="D9E2F3" w:themeFill="accent1" w:themeFillTint="33"/>
            <w:hideMark/>
          </w:tcPr>
          <w:p w14:paraId="3E07CD17" w14:textId="77777777" w:rsidR="00FB7AFC" w:rsidRPr="00FD0593" w:rsidRDefault="00FB7AFC" w:rsidP="00526022">
            <w:pPr>
              <w:spacing w:after="0" w:line="240" w:lineRule="auto"/>
              <w:jc w:val="center"/>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Indicador</w:t>
            </w:r>
          </w:p>
        </w:tc>
        <w:tc>
          <w:tcPr>
            <w:tcW w:w="1048" w:type="dxa"/>
            <w:vMerge w:val="restart"/>
            <w:tcBorders>
              <w:top w:val="nil"/>
              <w:left w:val="single" w:sz="4" w:space="0" w:color="000001"/>
              <w:bottom w:val="single" w:sz="4" w:space="0" w:color="000001"/>
              <w:right w:val="single" w:sz="4" w:space="0" w:color="000001"/>
            </w:tcBorders>
            <w:shd w:val="clear" w:color="auto" w:fill="D9E2F3" w:themeFill="accent1" w:themeFillTint="33"/>
            <w:hideMark/>
          </w:tcPr>
          <w:p w14:paraId="4C53CC16" w14:textId="77777777" w:rsidR="00FB7AFC" w:rsidRPr="00FD0593" w:rsidRDefault="00FB7AFC" w:rsidP="00526022">
            <w:pPr>
              <w:spacing w:after="0" w:line="240" w:lineRule="auto"/>
              <w:jc w:val="center"/>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Medio de Verificación</w:t>
            </w:r>
          </w:p>
        </w:tc>
        <w:tc>
          <w:tcPr>
            <w:tcW w:w="1773" w:type="dxa"/>
            <w:vMerge w:val="restart"/>
            <w:tcBorders>
              <w:top w:val="nil"/>
              <w:left w:val="single" w:sz="4" w:space="0" w:color="000001"/>
              <w:bottom w:val="single" w:sz="4" w:space="0" w:color="000001"/>
              <w:right w:val="single" w:sz="4" w:space="0" w:color="000001"/>
            </w:tcBorders>
            <w:shd w:val="clear" w:color="auto" w:fill="D9E2F3" w:themeFill="accent1" w:themeFillTint="33"/>
            <w:hideMark/>
          </w:tcPr>
          <w:p w14:paraId="45C954F0" w14:textId="77777777" w:rsidR="00FB7AFC" w:rsidRPr="00FD0593" w:rsidRDefault="00FB7AFC" w:rsidP="00526022">
            <w:pPr>
              <w:spacing w:after="0" w:line="240" w:lineRule="auto"/>
              <w:jc w:val="center"/>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Responsables</w:t>
            </w:r>
          </w:p>
        </w:tc>
        <w:tc>
          <w:tcPr>
            <w:tcW w:w="558" w:type="dxa"/>
            <w:vMerge w:val="restart"/>
            <w:tcBorders>
              <w:top w:val="nil"/>
              <w:left w:val="single" w:sz="4" w:space="0" w:color="000001"/>
              <w:bottom w:val="single" w:sz="4" w:space="0" w:color="000001"/>
              <w:right w:val="single" w:sz="4" w:space="0" w:color="000001"/>
            </w:tcBorders>
            <w:shd w:val="clear" w:color="auto" w:fill="D9E2F3" w:themeFill="accent1" w:themeFillTint="33"/>
            <w:hideMark/>
          </w:tcPr>
          <w:p w14:paraId="57CC5912" w14:textId="77777777" w:rsidR="00FB7AFC" w:rsidRPr="00FD0593" w:rsidRDefault="00FB7AFC" w:rsidP="00526022">
            <w:pPr>
              <w:spacing w:after="0" w:line="240" w:lineRule="auto"/>
              <w:jc w:val="center"/>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Meta anual</w:t>
            </w:r>
          </w:p>
        </w:tc>
        <w:tc>
          <w:tcPr>
            <w:tcW w:w="1601" w:type="dxa"/>
            <w:gridSpan w:val="3"/>
            <w:tcBorders>
              <w:top w:val="single" w:sz="4" w:space="0" w:color="000001"/>
              <w:left w:val="nil"/>
              <w:bottom w:val="single" w:sz="4" w:space="0" w:color="000001"/>
              <w:right w:val="single" w:sz="4" w:space="0" w:color="000001"/>
            </w:tcBorders>
            <w:shd w:val="clear" w:color="auto" w:fill="D9E2F3" w:themeFill="accent1" w:themeFillTint="33"/>
            <w:hideMark/>
          </w:tcPr>
          <w:p w14:paraId="5581F83B" w14:textId="77777777" w:rsidR="00FB7AFC" w:rsidRPr="00FD0593" w:rsidRDefault="00FB7AFC" w:rsidP="00526022">
            <w:pPr>
              <w:spacing w:after="0" w:line="240" w:lineRule="auto"/>
              <w:jc w:val="center"/>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1er. Trimestre</w:t>
            </w:r>
          </w:p>
        </w:tc>
        <w:tc>
          <w:tcPr>
            <w:tcW w:w="1601" w:type="dxa"/>
            <w:gridSpan w:val="3"/>
            <w:tcBorders>
              <w:top w:val="single" w:sz="4" w:space="0" w:color="000001"/>
              <w:left w:val="nil"/>
              <w:bottom w:val="single" w:sz="4" w:space="0" w:color="000001"/>
              <w:right w:val="single" w:sz="4" w:space="0" w:color="000001"/>
            </w:tcBorders>
            <w:shd w:val="clear" w:color="auto" w:fill="D9E2F3" w:themeFill="accent1" w:themeFillTint="33"/>
            <w:hideMark/>
          </w:tcPr>
          <w:p w14:paraId="761CD076" w14:textId="77777777" w:rsidR="00FB7AFC" w:rsidRPr="00FD0593" w:rsidRDefault="00FB7AFC" w:rsidP="00526022">
            <w:pPr>
              <w:spacing w:after="0" w:line="240" w:lineRule="auto"/>
              <w:jc w:val="center"/>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2do. Trimestre</w:t>
            </w:r>
          </w:p>
        </w:tc>
        <w:tc>
          <w:tcPr>
            <w:tcW w:w="2051" w:type="dxa"/>
            <w:vMerge w:val="restart"/>
            <w:tcBorders>
              <w:top w:val="nil"/>
              <w:left w:val="single" w:sz="4" w:space="0" w:color="000001"/>
              <w:bottom w:val="single" w:sz="4" w:space="0" w:color="000001"/>
              <w:right w:val="single" w:sz="4" w:space="0" w:color="000000"/>
            </w:tcBorders>
            <w:shd w:val="clear" w:color="auto" w:fill="D9E2F3" w:themeFill="accent1" w:themeFillTint="33"/>
            <w:hideMark/>
          </w:tcPr>
          <w:p w14:paraId="4A7647B0" w14:textId="77777777" w:rsidR="00FB7AFC" w:rsidRPr="00FD0593" w:rsidRDefault="00FB7AFC" w:rsidP="00526022">
            <w:pPr>
              <w:spacing w:after="0" w:line="240" w:lineRule="auto"/>
              <w:jc w:val="center"/>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Supuestos/Factores Condicionantes para el éxito en el cumplimiento de los resultados esperados o metas</w:t>
            </w:r>
          </w:p>
        </w:tc>
      </w:tr>
      <w:tr w:rsidR="00FB7AFC" w:rsidRPr="00FD0593" w14:paraId="15E8D3B6" w14:textId="77777777" w:rsidTr="00526022">
        <w:trPr>
          <w:gridAfter w:val="1"/>
          <w:wAfter w:w="6" w:type="dxa"/>
          <w:trHeight w:val="371"/>
        </w:trPr>
        <w:tc>
          <w:tcPr>
            <w:tcW w:w="591" w:type="dxa"/>
            <w:vMerge/>
            <w:tcBorders>
              <w:top w:val="nil"/>
              <w:left w:val="single" w:sz="4" w:space="0" w:color="000000"/>
              <w:bottom w:val="single" w:sz="4" w:space="0" w:color="000001"/>
              <w:right w:val="single" w:sz="4" w:space="0" w:color="000001"/>
            </w:tcBorders>
            <w:vAlign w:val="center"/>
            <w:hideMark/>
          </w:tcPr>
          <w:p w14:paraId="0B51AD2E" w14:textId="77777777" w:rsidR="00FB7AFC" w:rsidRPr="00FD0593" w:rsidRDefault="00FB7AFC" w:rsidP="00526022">
            <w:pPr>
              <w:spacing w:after="0" w:line="240" w:lineRule="auto"/>
              <w:rPr>
                <w:rFonts w:ascii="Arial" w:eastAsia="Times New Roman" w:hAnsi="Arial" w:cs="Arial"/>
                <w:b/>
                <w:bCs/>
                <w:color w:val="000001"/>
                <w:sz w:val="16"/>
                <w:szCs w:val="16"/>
                <w:lang w:eastAsia="es-SV"/>
              </w:rPr>
            </w:pPr>
          </w:p>
        </w:tc>
        <w:tc>
          <w:tcPr>
            <w:tcW w:w="3072" w:type="dxa"/>
            <w:vMerge/>
            <w:tcBorders>
              <w:top w:val="nil"/>
              <w:left w:val="single" w:sz="4" w:space="0" w:color="000001"/>
              <w:bottom w:val="single" w:sz="4" w:space="0" w:color="000001"/>
              <w:right w:val="single" w:sz="4" w:space="0" w:color="000001"/>
            </w:tcBorders>
            <w:vAlign w:val="center"/>
            <w:hideMark/>
          </w:tcPr>
          <w:p w14:paraId="576D620D" w14:textId="77777777" w:rsidR="00FB7AFC" w:rsidRPr="00FD0593" w:rsidRDefault="00FB7AFC" w:rsidP="00526022">
            <w:pPr>
              <w:spacing w:after="0" w:line="240" w:lineRule="auto"/>
              <w:rPr>
                <w:rFonts w:ascii="Arial" w:eastAsia="Times New Roman" w:hAnsi="Arial" w:cs="Arial"/>
                <w:b/>
                <w:bCs/>
                <w:color w:val="000001"/>
                <w:sz w:val="16"/>
                <w:szCs w:val="16"/>
                <w:lang w:eastAsia="es-SV"/>
              </w:rPr>
            </w:pPr>
          </w:p>
        </w:tc>
        <w:tc>
          <w:tcPr>
            <w:tcW w:w="1661" w:type="dxa"/>
            <w:vMerge/>
            <w:tcBorders>
              <w:top w:val="nil"/>
              <w:left w:val="single" w:sz="4" w:space="0" w:color="000001"/>
              <w:bottom w:val="single" w:sz="4" w:space="0" w:color="000001"/>
              <w:right w:val="single" w:sz="4" w:space="0" w:color="000001"/>
            </w:tcBorders>
            <w:vAlign w:val="center"/>
            <w:hideMark/>
          </w:tcPr>
          <w:p w14:paraId="1A576A3C" w14:textId="77777777" w:rsidR="00FB7AFC" w:rsidRPr="00FD0593" w:rsidRDefault="00FB7AFC" w:rsidP="00526022">
            <w:pPr>
              <w:spacing w:after="0" w:line="240" w:lineRule="auto"/>
              <w:rPr>
                <w:rFonts w:ascii="Arial" w:eastAsia="Times New Roman" w:hAnsi="Arial" w:cs="Arial"/>
                <w:b/>
                <w:bCs/>
                <w:color w:val="000001"/>
                <w:sz w:val="16"/>
                <w:szCs w:val="16"/>
                <w:lang w:eastAsia="es-SV"/>
              </w:rPr>
            </w:pPr>
          </w:p>
        </w:tc>
        <w:tc>
          <w:tcPr>
            <w:tcW w:w="1048" w:type="dxa"/>
            <w:vMerge/>
            <w:tcBorders>
              <w:top w:val="nil"/>
              <w:left w:val="single" w:sz="4" w:space="0" w:color="000001"/>
              <w:bottom w:val="single" w:sz="4" w:space="0" w:color="000001"/>
              <w:right w:val="single" w:sz="4" w:space="0" w:color="000001"/>
            </w:tcBorders>
            <w:vAlign w:val="center"/>
            <w:hideMark/>
          </w:tcPr>
          <w:p w14:paraId="26934DA6" w14:textId="77777777" w:rsidR="00FB7AFC" w:rsidRPr="00FD0593" w:rsidRDefault="00FB7AFC" w:rsidP="00526022">
            <w:pPr>
              <w:spacing w:after="0" w:line="240" w:lineRule="auto"/>
              <w:rPr>
                <w:rFonts w:ascii="Arial" w:eastAsia="Times New Roman" w:hAnsi="Arial" w:cs="Arial"/>
                <w:b/>
                <w:bCs/>
                <w:color w:val="000001"/>
                <w:sz w:val="16"/>
                <w:szCs w:val="16"/>
                <w:lang w:eastAsia="es-SV"/>
              </w:rPr>
            </w:pPr>
          </w:p>
        </w:tc>
        <w:tc>
          <w:tcPr>
            <w:tcW w:w="1773" w:type="dxa"/>
            <w:vMerge/>
            <w:tcBorders>
              <w:top w:val="nil"/>
              <w:left w:val="single" w:sz="4" w:space="0" w:color="000001"/>
              <w:bottom w:val="single" w:sz="4" w:space="0" w:color="000001"/>
              <w:right w:val="single" w:sz="4" w:space="0" w:color="000001"/>
            </w:tcBorders>
            <w:vAlign w:val="center"/>
            <w:hideMark/>
          </w:tcPr>
          <w:p w14:paraId="7C16A893" w14:textId="77777777" w:rsidR="00FB7AFC" w:rsidRPr="00FD0593" w:rsidRDefault="00FB7AFC" w:rsidP="00526022">
            <w:pPr>
              <w:spacing w:after="0" w:line="240" w:lineRule="auto"/>
              <w:rPr>
                <w:rFonts w:ascii="Arial" w:eastAsia="Times New Roman" w:hAnsi="Arial" w:cs="Arial"/>
                <w:b/>
                <w:bCs/>
                <w:color w:val="000001"/>
                <w:sz w:val="16"/>
                <w:szCs w:val="16"/>
                <w:lang w:eastAsia="es-SV"/>
              </w:rPr>
            </w:pPr>
          </w:p>
        </w:tc>
        <w:tc>
          <w:tcPr>
            <w:tcW w:w="558" w:type="dxa"/>
            <w:vMerge/>
            <w:tcBorders>
              <w:top w:val="nil"/>
              <w:left w:val="single" w:sz="4" w:space="0" w:color="000001"/>
              <w:bottom w:val="single" w:sz="4" w:space="0" w:color="000001"/>
              <w:right w:val="single" w:sz="4" w:space="0" w:color="000001"/>
            </w:tcBorders>
            <w:vAlign w:val="center"/>
            <w:hideMark/>
          </w:tcPr>
          <w:p w14:paraId="0C4E165A" w14:textId="77777777" w:rsidR="00FB7AFC" w:rsidRPr="00FD0593" w:rsidRDefault="00FB7AFC" w:rsidP="00526022">
            <w:pPr>
              <w:spacing w:after="0" w:line="240" w:lineRule="auto"/>
              <w:rPr>
                <w:rFonts w:ascii="Arial" w:eastAsia="Times New Roman" w:hAnsi="Arial" w:cs="Arial"/>
                <w:b/>
                <w:bCs/>
                <w:color w:val="000001"/>
                <w:sz w:val="16"/>
                <w:szCs w:val="16"/>
                <w:lang w:eastAsia="es-SV"/>
              </w:rPr>
            </w:pPr>
          </w:p>
        </w:tc>
        <w:tc>
          <w:tcPr>
            <w:tcW w:w="537" w:type="dxa"/>
            <w:tcBorders>
              <w:top w:val="nil"/>
              <w:left w:val="nil"/>
              <w:bottom w:val="single" w:sz="4" w:space="0" w:color="000001"/>
              <w:right w:val="single" w:sz="4" w:space="0" w:color="000001"/>
            </w:tcBorders>
            <w:shd w:val="clear" w:color="auto" w:fill="D9E2F3" w:themeFill="accent1" w:themeFillTint="33"/>
            <w:hideMark/>
          </w:tcPr>
          <w:p w14:paraId="2ABC336B" w14:textId="77777777" w:rsidR="00FB7AFC" w:rsidRPr="00FD0593" w:rsidRDefault="00FB7AFC" w:rsidP="00526022">
            <w:pPr>
              <w:spacing w:after="0" w:line="240" w:lineRule="auto"/>
              <w:rPr>
                <w:rFonts w:ascii="Arial" w:eastAsia="Times New Roman" w:hAnsi="Arial" w:cs="Arial"/>
                <w:b/>
                <w:bCs/>
                <w:color w:val="000001"/>
                <w:sz w:val="14"/>
                <w:szCs w:val="14"/>
                <w:lang w:eastAsia="es-SV"/>
              </w:rPr>
            </w:pPr>
            <w:proofErr w:type="spellStart"/>
            <w:r w:rsidRPr="00FD0593">
              <w:rPr>
                <w:rFonts w:ascii="Arial" w:eastAsia="Times New Roman" w:hAnsi="Arial" w:cs="Arial"/>
                <w:b/>
                <w:bCs/>
                <w:color w:val="000001"/>
                <w:sz w:val="14"/>
                <w:szCs w:val="14"/>
                <w:lang w:eastAsia="es-SV"/>
              </w:rPr>
              <w:t>Prog</w:t>
            </w:r>
            <w:proofErr w:type="spellEnd"/>
            <w:r w:rsidRPr="00FD0593">
              <w:rPr>
                <w:rFonts w:ascii="Arial" w:eastAsia="Times New Roman" w:hAnsi="Arial" w:cs="Arial"/>
                <w:b/>
                <w:bCs/>
                <w:color w:val="000001"/>
                <w:sz w:val="14"/>
                <w:szCs w:val="14"/>
                <w:lang w:eastAsia="es-SV"/>
              </w:rPr>
              <w:t>.</w:t>
            </w:r>
            <w:r w:rsidRPr="00FD0593">
              <w:rPr>
                <w:rFonts w:ascii="Arial" w:eastAsia="Times New Roman" w:hAnsi="Arial" w:cs="Arial"/>
                <w:color w:val="000001"/>
                <w:sz w:val="14"/>
                <w:szCs w:val="14"/>
                <w:lang w:eastAsia="es-SV"/>
              </w:rPr>
              <w:t> </w:t>
            </w:r>
          </w:p>
        </w:tc>
        <w:tc>
          <w:tcPr>
            <w:tcW w:w="623" w:type="dxa"/>
            <w:tcBorders>
              <w:top w:val="nil"/>
              <w:left w:val="nil"/>
              <w:bottom w:val="single" w:sz="4" w:space="0" w:color="000001"/>
              <w:right w:val="single" w:sz="4" w:space="0" w:color="000001"/>
            </w:tcBorders>
            <w:shd w:val="clear" w:color="auto" w:fill="D9E2F3" w:themeFill="accent1" w:themeFillTint="33"/>
            <w:hideMark/>
          </w:tcPr>
          <w:p w14:paraId="110D569B" w14:textId="77777777" w:rsidR="00FB7AFC" w:rsidRPr="00FD0593" w:rsidRDefault="00FB7AFC" w:rsidP="00526022">
            <w:pPr>
              <w:spacing w:after="0" w:line="240" w:lineRule="auto"/>
              <w:rPr>
                <w:rFonts w:ascii="Arial" w:eastAsia="Times New Roman" w:hAnsi="Arial" w:cs="Arial"/>
                <w:b/>
                <w:bCs/>
                <w:color w:val="000001"/>
                <w:sz w:val="14"/>
                <w:szCs w:val="14"/>
                <w:lang w:eastAsia="es-SV"/>
              </w:rPr>
            </w:pPr>
            <w:proofErr w:type="spellStart"/>
            <w:r w:rsidRPr="00FD0593">
              <w:rPr>
                <w:rFonts w:ascii="Arial" w:eastAsia="Times New Roman" w:hAnsi="Arial" w:cs="Arial"/>
                <w:b/>
                <w:bCs/>
                <w:color w:val="000001"/>
                <w:sz w:val="14"/>
                <w:szCs w:val="14"/>
                <w:lang w:eastAsia="es-SV"/>
              </w:rPr>
              <w:t>Realiz</w:t>
            </w:r>
            <w:proofErr w:type="spellEnd"/>
            <w:r w:rsidRPr="00FD0593">
              <w:rPr>
                <w:rFonts w:ascii="Arial" w:eastAsia="Times New Roman" w:hAnsi="Arial" w:cs="Arial"/>
                <w:b/>
                <w:bCs/>
                <w:color w:val="000001"/>
                <w:sz w:val="14"/>
                <w:szCs w:val="14"/>
                <w:lang w:eastAsia="es-SV"/>
              </w:rPr>
              <w:t>.</w:t>
            </w:r>
            <w:r w:rsidRPr="00FD0593">
              <w:rPr>
                <w:rFonts w:ascii="Arial" w:eastAsia="Times New Roman" w:hAnsi="Arial" w:cs="Arial"/>
                <w:color w:val="000001"/>
                <w:sz w:val="14"/>
                <w:szCs w:val="14"/>
                <w:lang w:eastAsia="es-SV"/>
              </w:rPr>
              <w:t> </w:t>
            </w:r>
          </w:p>
        </w:tc>
        <w:tc>
          <w:tcPr>
            <w:tcW w:w="441" w:type="dxa"/>
            <w:tcBorders>
              <w:top w:val="nil"/>
              <w:left w:val="nil"/>
              <w:bottom w:val="single" w:sz="4" w:space="0" w:color="000001"/>
              <w:right w:val="single" w:sz="4" w:space="0" w:color="000001"/>
            </w:tcBorders>
            <w:shd w:val="clear" w:color="auto" w:fill="D9E2F3" w:themeFill="accent1" w:themeFillTint="33"/>
            <w:hideMark/>
          </w:tcPr>
          <w:p w14:paraId="47C03DC4" w14:textId="77777777" w:rsidR="00FB7AFC" w:rsidRPr="00FD0593" w:rsidRDefault="00FB7AFC" w:rsidP="00526022">
            <w:pPr>
              <w:spacing w:after="0" w:line="240" w:lineRule="auto"/>
              <w:rPr>
                <w:rFonts w:ascii="Arial" w:eastAsia="Times New Roman" w:hAnsi="Arial" w:cs="Arial"/>
                <w:b/>
                <w:bCs/>
                <w:color w:val="000001"/>
                <w:sz w:val="14"/>
                <w:szCs w:val="14"/>
                <w:lang w:eastAsia="es-SV"/>
              </w:rPr>
            </w:pPr>
            <w:r w:rsidRPr="00FD0593">
              <w:rPr>
                <w:rFonts w:ascii="Arial" w:eastAsia="Times New Roman" w:hAnsi="Arial" w:cs="Arial"/>
                <w:b/>
                <w:bCs/>
                <w:color w:val="000001"/>
                <w:sz w:val="14"/>
                <w:szCs w:val="14"/>
                <w:lang w:eastAsia="es-SV"/>
              </w:rPr>
              <w:t>%</w:t>
            </w:r>
            <w:r w:rsidRPr="00FD0593">
              <w:rPr>
                <w:rFonts w:ascii="Arial" w:eastAsia="Times New Roman" w:hAnsi="Arial" w:cs="Arial"/>
                <w:color w:val="000001"/>
                <w:sz w:val="14"/>
                <w:szCs w:val="14"/>
                <w:lang w:eastAsia="es-SV"/>
              </w:rPr>
              <w:t> </w:t>
            </w:r>
          </w:p>
        </w:tc>
        <w:tc>
          <w:tcPr>
            <w:tcW w:w="537" w:type="dxa"/>
            <w:tcBorders>
              <w:top w:val="nil"/>
              <w:left w:val="nil"/>
              <w:bottom w:val="single" w:sz="4" w:space="0" w:color="000001"/>
              <w:right w:val="single" w:sz="4" w:space="0" w:color="000001"/>
            </w:tcBorders>
            <w:shd w:val="clear" w:color="auto" w:fill="D9E2F3" w:themeFill="accent1" w:themeFillTint="33"/>
            <w:hideMark/>
          </w:tcPr>
          <w:p w14:paraId="350E70A7" w14:textId="77777777" w:rsidR="00FB7AFC" w:rsidRPr="00FD0593" w:rsidRDefault="00FB7AFC" w:rsidP="00526022">
            <w:pPr>
              <w:spacing w:after="0" w:line="240" w:lineRule="auto"/>
              <w:rPr>
                <w:rFonts w:ascii="Arial" w:eastAsia="Times New Roman" w:hAnsi="Arial" w:cs="Arial"/>
                <w:b/>
                <w:bCs/>
                <w:color w:val="000001"/>
                <w:sz w:val="14"/>
                <w:szCs w:val="14"/>
                <w:lang w:eastAsia="es-SV"/>
              </w:rPr>
            </w:pPr>
            <w:proofErr w:type="spellStart"/>
            <w:r w:rsidRPr="00FD0593">
              <w:rPr>
                <w:rFonts w:ascii="Arial" w:eastAsia="Times New Roman" w:hAnsi="Arial" w:cs="Arial"/>
                <w:b/>
                <w:bCs/>
                <w:color w:val="000001"/>
                <w:sz w:val="14"/>
                <w:szCs w:val="14"/>
                <w:lang w:eastAsia="es-SV"/>
              </w:rPr>
              <w:t>Prog</w:t>
            </w:r>
            <w:proofErr w:type="spellEnd"/>
            <w:r w:rsidRPr="00FD0593">
              <w:rPr>
                <w:rFonts w:ascii="Arial" w:eastAsia="Times New Roman" w:hAnsi="Arial" w:cs="Arial"/>
                <w:b/>
                <w:bCs/>
                <w:color w:val="000001"/>
                <w:sz w:val="14"/>
                <w:szCs w:val="14"/>
                <w:lang w:eastAsia="es-SV"/>
              </w:rPr>
              <w:t>.</w:t>
            </w:r>
            <w:r w:rsidRPr="00FD0593">
              <w:rPr>
                <w:rFonts w:ascii="Arial" w:eastAsia="Times New Roman" w:hAnsi="Arial" w:cs="Arial"/>
                <w:color w:val="000001"/>
                <w:sz w:val="14"/>
                <w:szCs w:val="14"/>
                <w:lang w:eastAsia="es-SV"/>
              </w:rPr>
              <w:t> </w:t>
            </w:r>
          </w:p>
        </w:tc>
        <w:tc>
          <w:tcPr>
            <w:tcW w:w="623" w:type="dxa"/>
            <w:tcBorders>
              <w:top w:val="nil"/>
              <w:left w:val="nil"/>
              <w:bottom w:val="single" w:sz="4" w:space="0" w:color="000001"/>
              <w:right w:val="single" w:sz="4" w:space="0" w:color="000001"/>
            </w:tcBorders>
            <w:shd w:val="clear" w:color="auto" w:fill="D9E2F3" w:themeFill="accent1" w:themeFillTint="33"/>
            <w:hideMark/>
          </w:tcPr>
          <w:p w14:paraId="06049874" w14:textId="77777777" w:rsidR="00FB7AFC" w:rsidRPr="00FD0593" w:rsidRDefault="00FB7AFC" w:rsidP="00526022">
            <w:pPr>
              <w:spacing w:after="0" w:line="240" w:lineRule="auto"/>
              <w:rPr>
                <w:rFonts w:ascii="Arial" w:eastAsia="Times New Roman" w:hAnsi="Arial" w:cs="Arial"/>
                <w:b/>
                <w:bCs/>
                <w:color w:val="000001"/>
                <w:sz w:val="14"/>
                <w:szCs w:val="14"/>
                <w:lang w:eastAsia="es-SV"/>
              </w:rPr>
            </w:pPr>
            <w:proofErr w:type="spellStart"/>
            <w:r w:rsidRPr="00FD0593">
              <w:rPr>
                <w:rFonts w:ascii="Arial" w:eastAsia="Times New Roman" w:hAnsi="Arial" w:cs="Arial"/>
                <w:b/>
                <w:bCs/>
                <w:color w:val="000001"/>
                <w:sz w:val="14"/>
                <w:szCs w:val="14"/>
                <w:lang w:eastAsia="es-SV"/>
              </w:rPr>
              <w:t>Realiz</w:t>
            </w:r>
            <w:proofErr w:type="spellEnd"/>
            <w:r w:rsidRPr="00FD0593">
              <w:rPr>
                <w:rFonts w:ascii="Arial" w:eastAsia="Times New Roman" w:hAnsi="Arial" w:cs="Arial"/>
                <w:b/>
                <w:bCs/>
                <w:color w:val="000001"/>
                <w:sz w:val="14"/>
                <w:szCs w:val="14"/>
                <w:lang w:eastAsia="es-SV"/>
              </w:rPr>
              <w:t>.</w:t>
            </w:r>
            <w:r w:rsidRPr="00FD0593">
              <w:rPr>
                <w:rFonts w:ascii="Arial" w:eastAsia="Times New Roman" w:hAnsi="Arial" w:cs="Arial"/>
                <w:color w:val="000001"/>
                <w:sz w:val="14"/>
                <w:szCs w:val="14"/>
                <w:lang w:eastAsia="es-SV"/>
              </w:rPr>
              <w:t> </w:t>
            </w:r>
          </w:p>
        </w:tc>
        <w:tc>
          <w:tcPr>
            <w:tcW w:w="441" w:type="dxa"/>
            <w:tcBorders>
              <w:top w:val="nil"/>
              <w:left w:val="nil"/>
              <w:bottom w:val="single" w:sz="4" w:space="0" w:color="000001"/>
              <w:right w:val="single" w:sz="4" w:space="0" w:color="000001"/>
            </w:tcBorders>
            <w:shd w:val="clear" w:color="auto" w:fill="D9E2F3" w:themeFill="accent1" w:themeFillTint="33"/>
            <w:hideMark/>
          </w:tcPr>
          <w:p w14:paraId="79594F30" w14:textId="77777777" w:rsidR="00FB7AFC" w:rsidRPr="00FD0593" w:rsidRDefault="00FB7AFC" w:rsidP="00526022">
            <w:pPr>
              <w:spacing w:after="0" w:line="240" w:lineRule="auto"/>
              <w:rPr>
                <w:rFonts w:ascii="Arial" w:eastAsia="Times New Roman" w:hAnsi="Arial" w:cs="Arial"/>
                <w:b/>
                <w:bCs/>
                <w:color w:val="000001"/>
                <w:sz w:val="14"/>
                <w:szCs w:val="14"/>
                <w:lang w:eastAsia="es-SV"/>
              </w:rPr>
            </w:pPr>
            <w:r w:rsidRPr="00FD0593">
              <w:rPr>
                <w:rFonts w:ascii="Arial" w:eastAsia="Times New Roman" w:hAnsi="Arial" w:cs="Arial"/>
                <w:b/>
                <w:bCs/>
                <w:color w:val="000001"/>
                <w:sz w:val="14"/>
                <w:szCs w:val="14"/>
                <w:lang w:eastAsia="es-SV"/>
              </w:rPr>
              <w:t>%</w:t>
            </w:r>
            <w:r w:rsidRPr="00FD0593">
              <w:rPr>
                <w:rFonts w:ascii="Arial" w:eastAsia="Times New Roman" w:hAnsi="Arial" w:cs="Arial"/>
                <w:color w:val="000001"/>
                <w:sz w:val="14"/>
                <w:szCs w:val="14"/>
                <w:lang w:eastAsia="es-SV"/>
              </w:rPr>
              <w:t> </w:t>
            </w:r>
          </w:p>
        </w:tc>
        <w:tc>
          <w:tcPr>
            <w:tcW w:w="2051" w:type="dxa"/>
            <w:vMerge/>
            <w:tcBorders>
              <w:top w:val="nil"/>
              <w:left w:val="single" w:sz="4" w:space="0" w:color="000001"/>
              <w:bottom w:val="single" w:sz="4" w:space="0" w:color="000001"/>
              <w:right w:val="single" w:sz="4" w:space="0" w:color="000000"/>
            </w:tcBorders>
            <w:vAlign w:val="center"/>
            <w:hideMark/>
          </w:tcPr>
          <w:p w14:paraId="723FD55A" w14:textId="77777777" w:rsidR="00FB7AFC" w:rsidRPr="00FD0593" w:rsidRDefault="00FB7AFC" w:rsidP="00526022">
            <w:pPr>
              <w:spacing w:after="0" w:line="240" w:lineRule="auto"/>
              <w:rPr>
                <w:rFonts w:ascii="Arial" w:eastAsia="Times New Roman" w:hAnsi="Arial" w:cs="Arial"/>
                <w:b/>
                <w:bCs/>
                <w:color w:val="000001"/>
                <w:sz w:val="16"/>
                <w:szCs w:val="16"/>
                <w:lang w:eastAsia="es-SV"/>
              </w:rPr>
            </w:pPr>
          </w:p>
        </w:tc>
      </w:tr>
      <w:tr w:rsidR="00FB7AFC" w:rsidRPr="00FD0593" w14:paraId="0B630F69"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FFFF00"/>
            <w:hideMark/>
          </w:tcPr>
          <w:p w14:paraId="200EA3E4" w14:textId="77777777" w:rsidR="00FB7AFC" w:rsidRPr="00FD0593" w:rsidRDefault="00FB7AFC" w:rsidP="00526022">
            <w:pPr>
              <w:spacing w:after="0" w:line="240" w:lineRule="auto"/>
              <w:rPr>
                <w:rFonts w:ascii="Arial" w:eastAsia="Times New Roman" w:hAnsi="Arial" w:cs="Arial"/>
                <w:color w:val="000001"/>
                <w:sz w:val="16"/>
                <w:szCs w:val="16"/>
                <w:lang w:eastAsia="es-SV"/>
              </w:rPr>
            </w:pPr>
            <w:r w:rsidRPr="00FD0593">
              <w:rPr>
                <w:rFonts w:ascii="Arial" w:eastAsia="Times New Roman" w:hAnsi="Arial" w:cs="Arial"/>
                <w:color w:val="000001"/>
                <w:sz w:val="16"/>
                <w:szCs w:val="16"/>
                <w:lang w:eastAsia="es-SV"/>
              </w:rPr>
              <w:t>1 </w:t>
            </w:r>
          </w:p>
        </w:tc>
        <w:tc>
          <w:tcPr>
            <w:tcW w:w="13371" w:type="dxa"/>
            <w:gridSpan w:val="13"/>
            <w:tcBorders>
              <w:top w:val="single" w:sz="4" w:space="0" w:color="000001"/>
              <w:left w:val="nil"/>
              <w:bottom w:val="single" w:sz="4" w:space="0" w:color="000001"/>
              <w:right w:val="single" w:sz="4" w:space="0" w:color="000000"/>
            </w:tcBorders>
            <w:shd w:val="clear" w:color="auto" w:fill="FFFF00"/>
            <w:hideMark/>
          </w:tcPr>
          <w:p w14:paraId="6CB23333" w14:textId="77777777" w:rsidR="00FB7AFC" w:rsidRPr="00FD0593" w:rsidRDefault="00FB7AFC" w:rsidP="00526022">
            <w:pPr>
              <w:spacing w:after="0" w:line="240" w:lineRule="auto"/>
              <w:rPr>
                <w:rFonts w:ascii="Arial" w:eastAsia="Times New Roman" w:hAnsi="Arial" w:cs="Arial"/>
                <w:b/>
                <w:bCs/>
                <w:color w:val="000001"/>
                <w:sz w:val="16"/>
                <w:szCs w:val="16"/>
                <w:lang w:eastAsia="es-SV"/>
              </w:rPr>
            </w:pPr>
            <w:r w:rsidRPr="00FD0593">
              <w:rPr>
                <w:rFonts w:ascii="Arial" w:eastAsia="Times New Roman" w:hAnsi="Arial" w:cs="Arial"/>
                <w:b/>
                <w:bCs/>
                <w:color w:val="000001"/>
                <w:sz w:val="16"/>
                <w:szCs w:val="16"/>
                <w:lang w:eastAsia="es-SV"/>
              </w:rPr>
              <w:t>Objetivo: OO2 Mejorar la salud de las personas mediante la atención preventiva a la salud, con enfoque de curso de vida.</w:t>
            </w:r>
            <w:r w:rsidRPr="00FD0593">
              <w:rPr>
                <w:rFonts w:ascii="Arial" w:eastAsia="Times New Roman" w:hAnsi="Arial" w:cs="Arial"/>
                <w:color w:val="000001"/>
                <w:sz w:val="16"/>
                <w:szCs w:val="16"/>
                <w:lang w:eastAsia="es-SV"/>
              </w:rPr>
              <w:t> </w:t>
            </w:r>
          </w:p>
        </w:tc>
      </w:tr>
      <w:tr w:rsidR="00FB7AFC" w:rsidRPr="00FD0593" w14:paraId="68002B7F"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auto"/>
            <w:hideMark/>
          </w:tcPr>
          <w:p w14:paraId="7252E790" w14:textId="77777777" w:rsidR="00FB7AFC" w:rsidRPr="00FD0593" w:rsidRDefault="00FB7AFC" w:rsidP="00526022">
            <w:pPr>
              <w:spacing w:after="0" w:line="240" w:lineRule="auto"/>
              <w:rPr>
                <w:rFonts w:ascii="Arial" w:eastAsia="Times New Roman" w:hAnsi="Arial" w:cs="Arial"/>
                <w:color w:val="000001"/>
                <w:sz w:val="16"/>
                <w:szCs w:val="16"/>
                <w:lang w:eastAsia="es-SV"/>
              </w:rPr>
            </w:pPr>
            <w:r w:rsidRPr="00FD0593">
              <w:rPr>
                <w:rFonts w:ascii="Arial" w:eastAsia="Times New Roman" w:hAnsi="Arial" w:cs="Arial"/>
                <w:color w:val="000001"/>
                <w:sz w:val="16"/>
                <w:szCs w:val="16"/>
                <w:lang w:eastAsia="es-SV"/>
              </w:rPr>
              <w:t>1.1 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718A76E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Resultado esperado: Contribuir a la disminución de la Morbi mortalidad Materna y Perinatal mediante atención Odontológica </w:t>
            </w:r>
          </w:p>
        </w:tc>
      </w:tr>
      <w:tr w:rsidR="00FB7AFC" w:rsidRPr="00FD0593" w14:paraId="333CFFC1" w14:textId="77777777" w:rsidTr="00526022">
        <w:trPr>
          <w:gridAfter w:val="1"/>
          <w:wAfter w:w="6" w:type="dxa"/>
          <w:trHeight w:val="1189"/>
        </w:trPr>
        <w:tc>
          <w:tcPr>
            <w:tcW w:w="591" w:type="dxa"/>
            <w:tcBorders>
              <w:top w:val="nil"/>
              <w:left w:val="single" w:sz="4" w:space="0" w:color="000000"/>
              <w:bottom w:val="single" w:sz="4" w:space="0" w:color="000001"/>
              <w:right w:val="single" w:sz="4" w:space="0" w:color="000001"/>
            </w:tcBorders>
            <w:shd w:val="clear" w:color="auto" w:fill="auto"/>
            <w:hideMark/>
          </w:tcPr>
          <w:p w14:paraId="69918E29" w14:textId="77777777" w:rsidR="00FB7AFC" w:rsidRPr="00FD0593" w:rsidRDefault="00FB7AFC" w:rsidP="00526022">
            <w:pPr>
              <w:spacing w:after="0" w:line="240" w:lineRule="auto"/>
              <w:rPr>
                <w:rFonts w:ascii="Arial" w:eastAsia="Times New Roman" w:hAnsi="Arial" w:cs="Arial"/>
                <w:color w:val="000001"/>
                <w:sz w:val="16"/>
                <w:szCs w:val="16"/>
                <w:lang w:eastAsia="es-SV"/>
              </w:rPr>
            </w:pPr>
            <w:r w:rsidRPr="00FD0593">
              <w:rPr>
                <w:rFonts w:ascii="Arial" w:eastAsia="Times New Roman" w:hAnsi="Arial" w:cs="Arial"/>
                <w:color w:val="000001"/>
                <w:sz w:val="16"/>
                <w:szCs w:val="16"/>
                <w:lang w:eastAsia="es-SV"/>
              </w:rPr>
              <w:t>1.1.1 </w:t>
            </w:r>
          </w:p>
        </w:tc>
        <w:tc>
          <w:tcPr>
            <w:tcW w:w="3072" w:type="dxa"/>
            <w:tcBorders>
              <w:top w:val="nil"/>
              <w:left w:val="nil"/>
              <w:bottom w:val="single" w:sz="4" w:space="0" w:color="000001"/>
              <w:right w:val="single" w:sz="4" w:space="0" w:color="000001"/>
            </w:tcBorders>
            <w:shd w:val="clear" w:color="auto" w:fill="auto"/>
            <w:hideMark/>
          </w:tcPr>
          <w:p w14:paraId="1007B1B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Toda embarazada del control de alto riesgo será evaluada por odontología de acuerdo a los lineamientos. </w:t>
            </w:r>
          </w:p>
        </w:tc>
        <w:tc>
          <w:tcPr>
            <w:tcW w:w="1661" w:type="dxa"/>
            <w:tcBorders>
              <w:top w:val="nil"/>
              <w:left w:val="nil"/>
              <w:bottom w:val="single" w:sz="4" w:space="0" w:color="000001"/>
              <w:right w:val="single" w:sz="4" w:space="0" w:color="000001"/>
            </w:tcBorders>
            <w:shd w:val="clear" w:color="auto" w:fill="auto"/>
            <w:hideMark/>
          </w:tcPr>
          <w:p w14:paraId="123A2FE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Pacientes de alto riesgo evaluadas por odontología/ Total de pacientes de control de riesgo </w:t>
            </w:r>
          </w:p>
        </w:tc>
        <w:tc>
          <w:tcPr>
            <w:tcW w:w="1048" w:type="dxa"/>
            <w:tcBorders>
              <w:top w:val="nil"/>
              <w:left w:val="nil"/>
              <w:bottom w:val="single" w:sz="4" w:space="0" w:color="000001"/>
              <w:right w:val="single" w:sz="4" w:space="0" w:color="000001"/>
            </w:tcBorders>
            <w:shd w:val="clear" w:color="auto" w:fill="auto"/>
            <w:hideMark/>
          </w:tcPr>
          <w:p w14:paraId="5D4D342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Tabulador e Informes </w:t>
            </w:r>
          </w:p>
        </w:tc>
        <w:tc>
          <w:tcPr>
            <w:tcW w:w="1773" w:type="dxa"/>
            <w:tcBorders>
              <w:top w:val="nil"/>
              <w:left w:val="nil"/>
              <w:bottom w:val="single" w:sz="4" w:space="0" w:color="000001"/>
              <w:right w:val="single" w:sz="4" w:space="0" w:color="000001"/>
            </w:tcBorders>
            <w:shd w:val="clear" w:color="auto" w:fill="auto"/>
            <w:hideMark/>
          </w:tcPr>
          <w:p w14:paraId="75D741B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Jefe de Odontología Dra. Melissa Granados </w:t>
            </w:r>
          </w:p>
        </w:tc>
        <w:tc>
          <w:tcPr>
            <w:tcW w:w="558" w:type="dxa"/>
            <w:tcBorders>
              <w:top w:val="nil"/>
              <w:left w:val="nil"/>
              <w:bottom w:val="single" w:sz="4" w:space="0" w:color="000001"/>
              <w:right w:val="single" w:sz="4" w:space="0" w:color="000001"/>
            </w:tcBorders>
            <w:shd w:val="clear" w:color="auto" w:fill="auto"/>
            <w:hideMark/>
          </w:tcPr>
          <w:p w14:paraId="5E01F3F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0BF9DBF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0B798A2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50B4A1D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single" w:sz="4" w:space="0" w:color="000001"/>
              <w:right w:val="single" w:sz="4" w:space="0" w:color="000001"/>
            </w:tcBorders>
            <w:shd w:val="clear" w:color="auto" w:fill="auto"/>
            <w:hideMark/>
          </w:tcPr>
          <w:p w14:paraId="3CB1F2D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623" w:type="dxa"/>
            <w:tcBorders>
              <w:top w:val="nil"/>
              <w:left w:val="nil"/>
              <w:bottom w:val="single" w:sz="4" w:space="0" w:color="000001"/>
              <w:right w:val="single" w:sz="4" w:space="0" w:color="000001"/>
            </w:tcBorders>
            <w:shd w:val="clear" w:color="auto" w:fill="auto"/>
            <w:hideMark/>
          </w:tcPr>
          <w:p w14:paraId="11BD5F3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28F9D32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auto" w:fill="auto"/>
            <w:hideMark/>
          </w:tcPr>
          <w:p w14:paraId="1325B49E" w14:textId="77777777" w:rsidR="00FB7AFC"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Satisfactorio</w:t>
            </w:r>
            <w:r>
              <w:rPr>
                <w:rFonts w:ascii="Arial" w:eastAsia="Times New Roman" w:hAnsi="Arial" w:cs="Arial"/>
                <w:color w:val="000001"/>
                <w:sz w:val="18"/>
                <w:szCs w:val="18"/>
                <w:lang w:eastAsia="es-SV"/>
              </w:rPr>
              <w:t xml:space="preserve"> 100 %</w:t>
            </w:r>
            <w:r w:rsidRPr="00FD0593">
              <w:rPr>
                <w:rFonts w:ascii="Arial" w:eastAsia="Times New Roman" w:hAnsi="Arial" w:cs="Arial"/>
                <w:color w:val="000001"/>
                <w:sz w:val="18"/>
                <w:szCs w:val="18"/>
                <w:lang w:eastAsia="es-SV"/>
              </w:rPr>
              <w:br/>
            </w:r>
            <w:r w:rsidRPr="00FD0593">
              <w:rPr>
                <w:rFonts w:ascii="Arial" w:eastAsia="Times New Roman" w:hAnsi="Arial" w:cs="Arial"/>
                <w:color w:val="000001"/>
                <w:sz w:val="18"/>
                <w:szCs w:val="18"/>
                <w:lang w:eastAsia="es-SV"/>
              </w:rPr>
              <w:br/>
              <w:t>Todas la</w:t>
            </w:r>
            <w:r>
              <w:rPr>
                <w:rFonts w:ascii="Arial" w:eastAsia="Times New Roman" w:hAnsi="Arial" w:cs="Arial"/>
                <w:color w:val="000001"/>
                <w:sz w:val="18"/>
                <w:szCs w:val="18"/>
                <w:lang w:eastAsia="es-SV"/>
              </w:rPr>
              <w:t>s</w:t>
            </w:r>
            <w:r w:rsidRPr="00FD0593">
              <w:rPr>
                <w:rFonts w:ascii="Arial" w:eastAsia="Times New Roman" w:hAnsi="Arial" w:cs="Arial"/>
                <w:color w:val="000001"/>
                <w:sz w:val="18"/>
                <w:szCs w:val="18"/>
                <w:lang w:eastAsia="es-SV"/>
              </w:rPr>
              <w:t xml:space="preserve"> pacientes de control de alto riesgo de Obstetricia son atendidas el mismo día de la consulta por odontología, dentro de esto se ha asignado un recurso para esta actividad. </w:t>
            </w:r>
          </w:p>
          <w:p w14:paraId="288ECF24" w14:textId="77777777" w:rsidR="00FB7AFC" w:rsidRDefault="00FB7AFC" w:rsidP="00526022">
            <w:pPr>
              <w:spacing w:after="0" w:line="240" w:lineRule="auto"/>
              <w:rPr>
                <w:rFonts w:ascii="Arial" w:eastAsia="Times New Roman" w:hAnsi="Arial" w:cs="Arial"/>
                <w:color w:val="000001"/>
                <w:sz w:val="18"/>
                <w:szCs w:val="18"/>
                <w:lang w:eastAsia="es-SV"/>
              </w:rPr>
            </w:pPr>
          </w:p>
          <w:p w14:paraId="09AD6555" w14:textId="77777777" w:rsidR="00FB7AFC" w:rsidRDefault="00FB7AFC" w:rsidP="00526022">
            <w:pPr>
              <w:spacing w:after="0" w:line="240" w:lineRule="auto"/>
              <w:rPr>
                <w:rFonts w:ascii="Arial" w:eastAsia="Times New Roman" w:hAnsi="Arial" w:cs="Arial"/>
                <w:color w:val="000001"/>
                <w:sz w:val="18"/>
                <w:szCs w:val="18"/>
                <w:lang w:eastAsia="es-SV"/>
              </w:rPr>
            </w:pPr>
          </w:p>
          <w:p w14:paraId="5C152BC5" w14:textId="77777777" w:rsidR="00FB7AFC" w:rsidRPr="00FD0593" w:rsidRDefault="00FB7AFC" w:rsidP="00526022">
            <w:pPr>
              <w:spacing w:after="0" w:line="240" w:lineRule="auto"/>
              <w:rPr>
                <w:rFonts w:ascii="Arial" w:eastAsia="Times New Roman" w:hAnsi="Arial" w:cs="Arial"/>
                <w:color w:val="000001"/>
                <w:sz w:val="18"/>
                <w:szCs w:val="18"/>
                <w:lang w:eastAsia="es-SV"/>
              </w:rPr>
            </w:pPr>
          </w:p>
        </w:tc>
      </w:tr>
      <w:tr w:rsidR="00FB7AFC" w:rsidRPr="00FD0593" w14:paraId="48351748"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auto"/>
            <w:hideMark/>
          </w:tcPr>
          <w:p w14:paraId="462C6B2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1.2 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3116869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Resultado esperado: Contribuir a la disminución de la Morbi mortalidad Materna y Perinatal mediante atención ambulatoria de Infección Urinaria </w:t>
            </w:r>
          </w:p>
        </w:tc>
      </w:tr>
      <w:tr w:rsidR="00FB7AFC" w:rsidRPr="00FD0593" w14:paraId="67299801" w14:textId="77777777" w:rsidTr="00526022">
        <w:trPr>
          <w:gridAfter w:val="1"/>
          <w:wAfter w:w="6" w:type="dxa"/>
          <w:trHeight w:val="1427"/>
        </w:trPr>
        <w:tc>
          <w:tcPr>
            <w:tcW w:w="591" w:type="dxa"/>
            <w:tcBorders>
              <w:top w:val="nil"/>
              <w:left w:val="single" w:sz="4" w:space="0" w:color="000000"/>
              <w:bottom w:val="single" w:sz="4" w:space="0" w:color="000001"/>
              <w:right w:val="single" w:sz="4" w:space="0" w:color="000001"/>
            </w:tcBorders>
            <w:shd w:val="clear" w:color="auto" w:fill="auto"/>
            <w:hideMark/>
          </w:tcPr>
          <w:p w14:paraId="37CAFE3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1.2.1 </w:t>
            </w:r>
          </w:p>
        </w:tc>
        <w:tc>
          <w:tcPr>
            <w:tcW w:w="3072" w:type="dxa"/>
            <w:tcBorders>
              <w:top w:val="nil"/>
              <w:left w:val="nil"/>
              <w:bottom w:val="single" w:sz="4" w:space="0" w:color="000001"/>
              <w:right w:val="single" w:sz="4" w:space="0" w:color="000001"/>
            </w:tcBorders>
            <w:shd w:val="clear" w:color="auto" w:fill="auto"/>
            <w:hideMark/>
          </w:tcPr>
          <w:p w14:paraId="01888F9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Manejo según protocolo ambulatorio de paciente referida por IVU  </w:t>
            </w:r>
          </w:p>
        </w:tc>
        <w:tc>
          <w:tcPr>
            <w:tcW w:w="1661" w:type="dxa"/>
            <w:tcBorders>
              <w:top w:val="nil"/>
              <w:left w:val="nil"/>
              <w:bottom w:val="single" w:sz="4" w:space="0" w:color="000001"/>
              <w:right w:val="single" w:sz="4" w:space="0" w:color="000001"/>
            </w:tcBorders>
            <w:shd w:val="clear" w:color="auto" w:fill="auto"/>
            <w:hideMark/>
          </w:tcPr>
          <w:p w14:paraId="6EF9E32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Pacientes que cumplieron protocolo de atención de IVU/ pacientes referidas por IVU </w:t>
            </w:r>
          </w:p>
        </w:tc>
        <w:tc>
          <w:tcPr>
            <w:tcW w:w="1048" w:type="dxa"/>
            <w:tcBorders>
              <w:top w:val="nil"/>
              <w:left w:val="nil"/>
              <w:bottom w:val="single" w:sz="4" w:space="0" w:color="000001"/>
              <w:right w:val="single" w:sz="4" w:space="0" w:color="000001"/>
            </w:tcBorders>
            <w:shd w:val="clear" w:color="auto" w:fill="auto"/>
            <w:hideMark/>
          </w:tcPr>
          <w:p w14:paraId="038D4C8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Tabulador e Informes </w:t>
            </w:r>
          </w:p>
        </w:tc>
        <w:tc>
          <w:tcPr>
            <w:tcW w:w="1773" w:type="dxa"/>
            <w:tcBorders>
              <w:top w:val="nil"/>
              <w:left w:val="nil"/>
              <w:bottom w:val="single" w:sz="4" w:space="0" w:color="000001"/>
              <w:right w:val="single" w:sz="4" w:space="0" w:color="000001"/>
            </w:tcBorders>
            <w:shd w:val="clear" w:color="auto" w:fill="auto"/>
            <w:hideMark/>
          </w:tcPr>
          <w:p w14:paraId="5EBEB7B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Jefe de Maternidad</w:t>
            </w:r>
            <w:r w:rsidRPr="00FD0593">
              <w:rPr>
                <w:rFonts w:ascii="WordVisiCarriageReturn_MSFontSe" w:eastAsia="Times New Roman" w:hAnsi="WordVisiCarriageReturn_MSFontSe" w:cs="Arial"/>
                <w:color w:val="000001"/>
                <w:sz w:val="18"/>
                <w:szCs w:val="18"/>
                <w:lang w:eastAsia="es-SV"/>
              </w:rPr>
              <w:t> </w:t>
            </w:r>
            <w:r w:rsidRPr="00FD0593">
              <w:rPr>
                <w:rFonts w:ascii="Arial" w:eastAsia="Times New Roman" w:hAnsi="Arial" w:cs="Arial"/>
                <w:color w:val="000001"/>
                <w:sz w:val="18"/>
                <w:szCs w:val="18"/>
                <w:lang w:eastAsia="es-SV"/>
              </w:rPr>
              <w:br/>
              <w:t>Dr. Vaquerano</w:t>
            </w:r>
            <w:r w:rsidRPr="00FD0593">
              <w:rPr>
                <w:rFonts w:ascii="WordVisiCarriageReturn_MSFontSe" w:eastAsia="Times New Roman" w:hAnsi="WordVisiCarriageReturn_MSFontSe" w:cs="Arial"/>
                <w:color w:val="000001"/>
                <w:sz w:val="18"/>
                <w:szCs w:val="18"/>
                <w:lang w:eastAsia="es-SV"/>
              </w:rPr>
              <w:t> </w:t>
            </w:r>
            <w:r w:rsidRPr="00FD0593">
              <w:rPr>
                <w:rFonts w:ascii="Arial" w:eastAsia="Times New Roman" w:hAnsi="Arial" w:cs="Arial"/>
                <w:color w:val="000001"/>
                <w:sz w:val="18"/>
                <w:szCs w:val="18"/>
                <w:lang w:eastAsia="es-SV"/>
              </w:rPr>
              <w:br/>
              <w:t> </w:t>
            </w:r>
          </w:p>
        </w:tc>
        <w:tc>
          <w:tcPr>
            <w:tcW w:w="558" w:type="dxa"/>
            <w:tcBorders>
              <w:top w:val="nil"/>
              <w:left w:val="nil"/>
              <w:bottom w:val="single" w:sz="4" w:space="0" w:color="000001"/>
              <w:right w:val="single" w:sz="4" w:space="0" w:color="000001"/>
            </w:tcBorders>
            <w:shd w:val="clear" w:color="auto" w:fill="auto"/>
            <w:hideMark/>
          </w:tcPr>
          <w:p w14:paraId="559B5A1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43DC50C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7613475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5CA3DFA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single" w:sz="4" w:space="0" w:color="000001"/>
              <w:right w:val="single" w:sz="4" w:space="0" w:color="000001"/>
            </w:tcBorders>
            <w:shd w:val="clear" w:color="auto" w:fill="auto"/>
            <w:hideMark/>
          </w:tcPr>
          <w:p w14:paraId="15C7821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21D6EC0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4D296E1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auto" w:fill="auto"/>
            <w:hideMark/>
          </w:tcPr>
          <w:p w14:paraId="4970F58B" w14:textId="77777777" w:rsidR="00FB7AFC" w:rsidRDefault="00FB7AFC" w:rsidP="00526022">
            <w:pPr>
              <w:spacing w:after="0" w:line="240" w:lineRule="auto"/>
              <w:rPr>
                <w:rFonts w:ascii="Arial" w:eastAsia="Times New Roman" w:hAnsi="Arial" w:cs="Arial"/>
                <w:color w:val="000001"/>
                <w:sz w:val="18"/>
                <w:szCs w:val="18"/>
                <w:lang w:eastAsia="es-SV"/>
              </w:rPr>
            </w:pPr>
          </w:p>
          <w:p w14:paraId="0D88AE24" w14:textId="77777777" w:rsidR="00FB7AFC"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Satisfactorio.</w:t>
            </w:r>
            <w:r>
              <w:rPr>
                <w:rFonts w:ascii="Arial" w:eastAsia="Times New Roman" w:hAnsi="Arial" w:cs="Arial"/>
                <w:color w:val="000001"/>
                <w:sz w:val="18"/>
                <w:szCs w:val="18"/>
                <w:lang w:eastAsia="es-SV"/>
              </w:rPr>
              <w:t xml:space="preserve"> 100 %</w:t>
            </w:r>
            <w:r w:rsidRPr="00FD0593">
              <w:rPr>
                <w:rFonts w:ascii="Arial" w:eastAsia="Times New Roman" w:hAnsi="Arial" w:cs="Arial"/>
                <w:color w:val="000001"/>
                <w:sz w:val="18"/>
                <w:szCs w:val="18"/>
                <w:lang w:eastAsia="es-SV"/>
              </w:rPr>
              <w:br/>
              <w:t>Todas las pacient</w:t>
            </w:r>
            <w:r>
              <w:rPr>
                <w:rFonts w:ascii="Arial" w:eastAsia="Times New Roman" w:hAnsi="Arial" w:cs="Arial"/>
                <w:color w:val="000001"/>
                <w:sz w:val="18"/>
                <w:szCs w:val="18"/>
                <w:lang w:eastAsia="es-SV"/>
              </w:rPr>
              <w:t>e</w:t>
            </w:r>
            <w:r w:rsidRPr="00FD0593">
              <w:rPr>
                <w:rFonts w:ascii="Arial" w:eastAsia="Times New Roman" w:hAnsi="Arial" w:cs="Arial"/>
                <w:color w:val="000001"/>
                <w:sz w:val="18"/>
                <w:szCs w:val="18"/>
                <w:lang w:eastAsia="es-SV"/>
              </w:rPr>
              <w:t>s atendi</w:t>
            </w:r>
            <w:r>
              <w:rPr>
                <w:rFonts w:ascii="Arial" w:eastAsia="Times New Roman" w:hAnsi="Arial" w:cs="Arial"/>
                <w:color w:val="000001"/>
                <w:sz w:val="18"/>
                <w:szCs w:val="18"/>
                <w:lang w:eastAsia="es-SV"/>
              </w:rPr>
              <w:t>d</w:t>
            </w:r>
            <w:r w:rsidRPr="00FD0593">
              <w:rPr>
                <w:rFonts w:ascii="Arial" w:eastAsia="Times New Roman" w:hAnsi="Arial" w:cs="Arial"/>
                <w:color w:val="000001"/>
                <w:sz w:val="18"/>
                <w:szCs w:val="18"/>
                <w:lang w:eastAsia="es-SV"/>
              </w:rPr>
              <w:t>as se cumplen lineamientos de atención por IVU</w:t>
            </w:r>
          </w:p>
          <w:p w14:paraId="4F8D49FC" w14:textId="77777777" w:rsidR="00FB7AFC" w:rsidRDefault="00FB7AFC" w:rsidP="00526022">
            <w:pPr>
              <w:spacing w:after="0" w:line="240" w:lineRule="auto"/>
              <w:rPr>
                <w:rFonts w:ascii="Arial" w:eastAsia="Times New Roman" w:hAnsi="Arial" w:cs="Arial"/>
                <w:color w:val="000001"/>
                <w:sz w:val="18"/>
                <w:szCs w:val="18"/>
                <w:lang w:eastAsia="es-SV"/>
              </w:rPr>
            </w:pPr>
          </w:p>
          <w:p w14:paraId="7A5C1725" w14:textId="77777777" w:rsidR="00FB7AFC" w:rsidRDefault="00FB7AFC" w:rsidP="00526022">
            <w:pPr>
              <w:spacing w:after="0" w:line="240" w:lineRule="auto"/>
              <w:rPr>
                <w:rFonts w:ascii="Arial" w:eastAsia="Times New Roman" w:hAnsi="Arial" w:cs="Arial"/>
                <w:color w:val="000001"/>
                <w:sz w:val="18"/>
                <w:szCs w:val="18"/>
                <w:lang w:eastAsia="es-SV"/>
              </w:rPr>
            </w:pPr>
          </w:p>
          <w:p w14:paraId="39F0D509" w14:textId="77777777" w:rsidR="00FB7AFC" w:rsidRPr="00FD0593" w:rsidRDefault="00FB7AFC" w:rsidP="00526022">
            <w:pPr>
              <w:spacing w:after="0" w:line="240" w:lineRule="auto"/>
              <w:rPr>
                <w:rFonts w:ascii="Arial" w:eastAsia="Times New Roman" w:hAnsi="Arial" w:cs="Arial"/>
                <w:color w:val="000001"/>
                <w:sz w:val="18"/>
                <w:szCs w:val="18"/>
                <w:lang w:eastAsia="es-SV"/>
              </w:rPr>
            </w:pPr>
          </w:p>
        </w:tc>
      </w:tr>
      <w:tr w:rsidR="00FB7AFC" w:rsidRPr="00FD0593" w14:paraId="52C20DAD" w14:textId="77777777" w:rsidTr="00526022">
        <w:trPr>
          <w:gridAfter w:val="1"/>
          <w:wAfter w:w="6" w:type="dxa"/>
          <w:trHeight w:val="1903"/>
        </w:trPr>
        <w:tc>
          <w:tcPr>
            <w:tcW w:w="591" w:type="dxa"/>
            <w:tcBorders>
              <w:top w:val="nil"/>
              <w:left w:val="single" w:sz="4" w:space="0" w:color="000000"/>
              <w:bottom w:val="single" w:sz="4" w:space="0" w:color="000001"/>
              <w:right w:val="single" w:sz="4" w:space="0" w:color="000001"/>
            </w:tcBorders>
            <w:shd w:val="clear" w:color="auto" w:fill="auto"/>
            <w:hideMark/>
          </w:tcPr>
          <w:p w14:paraId="41B9411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1.2.2 </w:t>
            </w:r>
          </w:p>
        </w:tc>
        <w:tc>
          <w:tcPr>
            <w:tcW w:w="3072" w:type="dxa"/>
            <w:tcBorders>
              <w:top w:val="nil"/>
              <w:left w:val="nil"/>
              <w:bottom w:val="single" w:sz="4" w:space="0" w:color="000001"/>
              <w:right w:val="single" w:sz="4" w:space="0" w:color="000001"/>
            </w:tcBorders>
            <w:shd w:val="clear" w:color="auto" w:fill="auto"/>
            <w:hideMark/>
          </w:tcPr>
          <w:p w14:paraId="7B04052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Hospitalización de pacientes con IVU según lineamientos </w:t>
            </w:r>
          </w:p>
        </w:tc>
        <w:tc>
          <w:tcPr>
            <w:tcW w:w="1661" w:type="dxa"/>
            <w:tcBorders>
              <w:top w:val="nil"/>
              <w:left w:val="nil"/>
              <w:bottom w:val="single" w:sz="4" w:space="0" w:color="000001"/>
              <w:right w:val="single" w:sz="4" w:space="0" w:color="000001"/>
            </w:tcBorders>
            <w:shd w:val="clear" w:color="auto" w:fill="auto"/>
            <w:hideMark/>
          </w:tcPr>
          <w:p w14:paraId="64474AB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Pacientes que cumplen protocolo de tratamiento de hospitalización por IVU / Total de pacientes ingresados con diagnóstico de IVU </w:t>
            </w:r>
          </w:p>
        </w:tc>
        <w:tc>
          <w:tcPr>
            <w:tcW w:w="1048" w:type="dxa"/>
            <w:tcBorders>
              <w:top w:val="nil"/>
              <w:left w:val="nil"/>
              <w:bottom w:val="single" w:sz="4" w:space="0" w:color="000001"/>
              <w:right w:val="single" w:sz="4" w:space="0" w:color="000001"/>
            </w:tcBorders>
            <w:shd w:val="clear" w:color="auto" w:fill="auto"/>
            <w:hideMark/>
          </w:tcPr>
          <w:p w14:paraId="1E093CB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Tabulador e Informes </w:t>
            </w:r>
          </w:p>
        </w:tc>
        <w:tc>
          <w:tcPr>
            <w:tcW w:w="1773" w:type="dxa"/>
            <w:tcBorders>
              <w:top w:val="nil"/>
              <w:left w:val="nil"/>
              <w:bottom w:val="single" w:sz="4" w:space="0" w:color="000001"/>
              <w:right w:val="single" w:sz="4" w:space="0" w:color="000001"/>
            </w:tcBorders>
            <w:shd w:val="clear" w:color="auto" w:fill="auto"/>
            <w:hideMark/>
          </w:tcPr>
          <w:p w14:paraId="636C3A0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Jefe de Maternidad</w:t>
            </w:r>
            <w:r w:rsidRPr="00FD0593">
              <w:rPr>
                <w:rFonts w:ascii="WordVisiCarriageReturn_MSFontSe" w:eastAsia="Times New Roman" w:hAnsi="WordVisiCarriageReturn_MSFontSe" w:cs="Arial"/>
                <w:color w:val="000001"/>
                <w:sz w:val="18"/>
                <w:szCs w:val="18"/>
                <w:lang w:eastAsia="es-SV"/>
              </w:rPr>
              <w:t> </w:t>
            </w:r>
            <w:r w:rsidRPr="00FD0593">
              <w:rPr>
                <w:rFonts w:ascii="Arial" w:eastAsia="Times New Roman" w:hAnsi="Arial" w:cs="Arial"/>
                <w:color w:val="000001"/>
                <w:sz w:val="18"/>
                <w:szCs w:val="18"/>
                <w:lang w:eastAsia="es-SV"/>
              </w:rPr>
              <w:br/>
              <w:t>Dr. Vaquerano</w:t>
            </w:r>
            <w:r w:rsidRPr="00FD0593">
              <w:rPr>
                <w:rFonts w:ascii="WordVisiCarriageReturn_MSFontSe" w:eastAsia="Times New Roman" w:hAnsi="WordVisiCarriageReturn_MSFontSe" w:cs="Arial"/>
                <w:color w:val="000001"/>
                <w:sz w:val="18"/>
                <w:szCs w:val="18"/>
                <w:lang w:eastAsia="es-SV"/>
              </w:rPr>
              <w:t> </w:t>
            </w:r>
            <w:r w:rsidRPr="00FD0593">
              <w:rPr>
                <w:rFonts w:ascii="Arial" w:eastAsia="Times New Roman" w:hAnsi="Arial" w:cs="Arial"/>
                <w:color w:val="000001"/>
                <w:sz w:val="18"/>
                <w:szCs w:val="18"/>
                <w:lang w:eastAsia="es-SV"/>
              </w:rPr>
              <w:br/>
              <w:t> </w:t>
            </w:r>
          </w:p>
        </w:tc>
        <w:tc>
          <w:tcPr>
            <w:tcW w:w="558" w:type="dxa"/>
            <w:tcBorders>
              <w:top w:val="nil"/>
              <w:left w:val="nil"/>
              <w:bottom w:val="single" w:sz="4" w:space="0" w:color="000001"/>
              <w:right w:val="single" w:sz="4" w:space="0" w:color="000001"/>
            </w:tcBorders>
            <w:shd w:val="clear" w:color="auto" w:fill="auto"/>
            <w:hideMark/>
          </w:tcPr>
          <w:p w14:paraId="49FC470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6E3D17B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38C3378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3435CF2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single" w:sz="4" w:space="0" w:color="000001"/>
              <w:right w:val="single" w:sz="4" w:space="0" w:color="000001"/>
            </w:tcBorders>
            <w:shd w:val="clear" w:color="auto" w:fill="auto"/>
            <w:hideMark/>
          </w:tcPr>
          <w:p w14:paraId="0F58928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53F97DC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255B6BD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auto" w:fill="auto"/>
            <w:hideMark/>
          </w:tcPr>
          <w:p w14:paraId="3F445565" w14:textId="77777777" w:rsidR="00FB7AFC"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Satisfactorio.</w:t>
            </w:r>
            <w:r>
              <w:rPr>
                <w:rFonts w:ascii="Arial" w:eastAsia="Times New Roman" w:hAnsi="Arial" w:cs="Arial"/>
                <w:color w:val="000001"/>
                <w:sz w:val="18"/>
                <w:szCs w:val="18"/>
                <w:lang w:eastAsia="es-SV"/>
              </w:rPr>
              <w:t xml:space="preserve"> 100 %</w:t>
            </w:r>
            <w:r w:rsidRPr="00FD0593">
              <w:rPr>
                <w:rFonts w:ascii="Arial" w:eastAsia="Times New Roman" w:hAnsi="Arial" w:cs="Arial"/>
                <w:color w:val="000001"/>
                <w:sz w:val="18"/>
                <w:szCs w:val="18"/>
                <w:lang w:eastAsia="es-SV"/>
              </w:rPr>
              <w:br/>
              <w:t>Todas las pacientes atendidas se cumplen lineamientos de atención por IVU</w:t>
            </w:r>
          </w:p>
          <w:p w14:paraId="3B8CD211" w14:textId="77777777" w:rsidR="00FB7AFC" w:rsidRDefault="00FB7AFC" w:rsidP="00526022">
            <w:pPr>
              <w:spacing w:after="0" w:line="240" w:lineRule="auto"/>
              <w:rPr>
                <w:rFonts w:ascii="Arial" w:eastAsia="Times New Roman" w:hAnsi="Arial" w:cs="Arial"/>
                <w:color w:val="000001"/>
                <w:sz w:val="18"/>
                <w:szCs w:val="18"/>
                <w:lang w:eastAsia="es-SV"/>
              </w:rPr>
            </w:pPr>
          </w:p>
          <w:p w14:paraId="2463AFDE" w14:textId="77777777" w:rsidR="00FB7AFC" w:rsidRDefault="00FB7AFC" w:rsidP="00526022">
            <w:pPr>
              <w:spacing w:after="0" w:line="240" w:lineRule="auto"/>
              <w:rPr>
                <w:rFonts w:ascii="Arial" w:eastAsia="Times New Roman" w:hAnsi="Arial" w:cs="Arial"/>
                <w:color w:val="000001"/>
                <w:sz w:val="18"/>
                <w:szCs w:val="18"/>
                <w:lang w:eastAsia="es-SV"/>
              </w:rPr>
            </w:pPr>
          </w:p>
          <w:p w14:paraId="1F5E9B63" w14:textId="77777777" w:rsidR="00FB7AFC" w:rsidRDefault="00FB7AFC" w:rsidP="00526022">
            <w:pPr>
              <w:spacing w:after="0" w:line="240" w:lineRule="auto"/>
              <w:rPr>
                <w:rFonts w:ascii="Arial" w:eastAsia="Times New Roman" w:hAnsi="Arial" w:cs="Arial"/>
                <w:color w:val="000001"/>
                <w:sz w:val="18"/>
                <w:szCs w:val="18"/>
                <w:lang w:eastAsia="es-SV"/>
              </w:rPr>
            </w:pPr>
          </w:p>
          <w:p w14:paraId="0B7BE03D" w14:textId="77777777" w:rsidR="00FB7AFC" w:rsidRDefault="00FB7AFC" w:rsidP="00526022">
            <w:pPr>
              <w:spacing w:after="0" w:line="240" w:lineRule="auto"/>
              <w:rPr>
                <w:rFonts w:ascii="Arial" w:eastAsia="Times New Roman" w:hAnsi="Arial" w:cs="Arial"/>
                <w:color w:val="000001"/>
                <w:sz w:val="18"/>
                <w:szCs w:val="18"/>
                <w:lang w:eastAsia="es-SV"/>
              </w:rPr>
            </w:pPr>
          </w:p>
          <w:p w14:paraId="2A562B46" w14:textId="77777777" w:rsidR="00FB7AFC" w:rsidRDefault="00FB7AFC" w:rsidP="00526022">
            <w:pPr>
              <w:spacing w:after="0" w:line="240" w:lineRule="auto"/>
              <w:rPr>
                <w:rFonts w:ascii="Arial" w:eastAsia="Times New Roman" w:hAnsi="Arial" w:cs="Arial"/>
                <w:color w:val="000001"/>
                <w:sz w:val="18"/>
                <w:szCs w:val="18"/>
                <w:lang w:eastAsia="es-SV"/>
              </w:rPr>
            </w:pPr>
          </w:p>
          <w:p w14:paraId="46C6EF3A" w14:textId="77777777" w:rsidR="00FB7AFC" w:rsidRDefault="00FB7AFC" w:rsidP="00526022">
            <w:pPr>
              <w:spacing w:after="0" w:line="240" w:lineRule="auto"/>
              <w:rPr>
                <w:rFonts w:ascii="Arial" w:eastAsia="Times New Roman" w:hAnsi="Arial" w:cs="Arial"/>
                <w:color w:val="000001"/>
                <w:sz w:val="18"/>
                <w:szCs w:val="18"/>
                <w:lang w:eastAsia="es-SV"/>
              </w:rPr>
            </w:pPr>
          </w:p>
          <w:p w14:paraId="58D452E5" w14:textId="77777777" w:rsidR="00FB7AFC" w:rsidRDefault="00FB7AFC" w:rsidP="00526022">
            <w:pPr>
              <w:spacing w:after="0" w:line="240" w:lineRule="auto"/>
              <w:rPr>
                <w:rFonts w:ascii="Arial" w:eastAsia="Times New Roman" w:hAnsi="Arial" w:cs="Arial"/>
                <w:color w:val="000001"/>
                <w:sz w:val="18"/>
                <w:szCs w:val="18"/>
                <w:lang w:eastAsia="es-SV"/>
              </w:rPr>
            </w:pPr>
          </w:p>
          <w:p w14:paraId="647CF853" w14:textId="77777777" w:rsidR="00FB7AFC" w:rsidRDefault="00FB7AFC" w:rsidP="00526022">
            <w:pPr>
              <w:spacing w:after="0" w:line="240" w:lineRule="auto"/>
              <w:rPr>
                <w:rFonts w:ascii="Arial" w:eastAsia="Times New Roman" w:hAnsi="Arial" w:cs="Arial"/>
                <w:color w:val="000001"/>
                <w:sz w:val="18"/>
                <w:szCs w:val="18"/>
                <w:lang w:eastAsia="es-SV"/>
              </w:rPr>
            </w:pPr>
          </w:p>
          <w:p w14:paraId="294F7FE4" w14:textId="77777777" w:rsidR="00FB7AFC" w:rsidRDefault="00FB7AFC" w:rsidP="00526022">
            <w:pPr>
              <w:spacing w:after="0" w:line="240" w:lineRule="auto"/>
              <w:rPr>
                <w:rFonts w:ascii="Arial" w:eastAsia="Times New Roman" w:hAnsi="Arial" w:cs="Arial"/>
                <w:color w:val="000001"/>
                <w:sz w:val="18"/>
                <w:szCs w:val="18"/>
                <w:lang w:eastAsia="es-SV"/>
              </w:rPr>
            </w:pPr>
          </w:p>
          <w:p w14:paraId="69EA0B58" w14:textId="77777777" w:rsidR="00FB7AFC" w:rsidRPr="00FD0593" w:rsidRDefault="00FB7AFC" w:rsidP="00526022">
            <w:pPr>
              <w:spacing w:after="0" w:line="240" w:lineRule="auto"/>
              <w:rPr>
                <w:rFonts w:ascii="Arial" w:eastAsia="Times New Roman" w:hAnsi="Arial" w:cs="Arial"/>
                <w:color w:val="000001"/>
                <w:sz w:val="18"/>
                <w:szCs w:val="18"/>
                <w:lang w:eastAsia="es-SV"/>
              </w:rPr>
            </w:pPr>
          </w:p>
        </w:tc>
      </w:tr>
      <w:tr w:rsidR="00FB7AFC" w:rsidRPr="00FD0593" w14:paraId="57D67CF9"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auto"/>
            <w:hideMark/>
          </w:tcPr>
          <w:p w14:paraId="7993967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lastRenderedPageBreak/>
              <w:t>1.3 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2E002D4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Resultado esperado: Contribuir a la disminución de la Morbi mortalidad Materna y Perinatal mediante la inclusión de las mujeres con enfermedades crónicas y con edad reproductiva a la clínica de Alto Riesgo Reproductivo </w:t>
            </w:r>
          </w:p>
        </w:tc>
      </w:tr>
      <w:tr w:rsidR="00FB7AFC" w:rsidRPr="00FD0593" w14:paraId="36713F74" w14:textId="77777777" w:rsidTr="00526022">
        <w:trPr>
          <w:gridAfter w:val="1"/>
          <w:wAfter w:w="6" w:type="dxa"/>
          <w:trHeight w:val="1517"/>
        </w:trPr>
        <w:tc>
          <w:tcPr>
            <w:tcW w:w="591" w:type="dxa"/>
            <w:tcBorders>
              <w:top w:val="nil"/>
              <w:left w:val="single" w:sz="4" w:space="0" w:color="000000"/>
              <w:bottom w:val="nil"/>
              <w:right w:val="single" w:sz="4" w:space="0" w:color="000001"/>
            </w:tcBorders>
            <w:shd w:val="clear" w:color="auto" w:fill="auto"/>
            <w:hideMark/>
          </w:tcPr>
          <w:p w14:paraId="5A85376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1.3.1 </w:t>
            </w:r>
          </w:p>
        </w:tc>
        <w:tc>
          <w:tcPr>
            <w:tcW w:w="3072" w:type="dxa"/>
            <w:tcBorders>
              <w:top w:val="nil"/>
              <w:left w:val="nil"/>
              <w:bottom w:val="nil"/>
              <w:right w:val="single" w:sz="4" w:space="0" w:color="000001"/>
            </w:tcBorders>
            <w:shd w:val="clear" w:color="auto" w:fill="auto"/>
            <w:hideMark/>
          </w:tcPr>
          <w:p w14:paraId="43ABF15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Inclusión de las mujeres con enfermedades crónicas y edad reproductiva a la clínica de Alto Riesgo Reproductivo </w:t>
            </w:r>
          </w:p>
        </w:tc>
        <w:tc>
          <w:tcPr>
            <w:tcW w:w="1661" w:type="dxa"/>
            <w:tcBorders>
              <w:top w:val="nil"/>
              <w:left w:val="nil"/>
              <w:bottom w:val="nil"/>
              <w:right w:val="single" w:sz="4" w:space="0" w:color="000001"/>
            </w:tcBorders>
            <w:shd w:val="clear" w:color="auto" w:fill="auto"/>
            <w:noWrap/>
            <w:hideMark/>
          </w:tcPr>
          <w:p w14:paraId="36567EE8" w14:textId="77777777" w:rsidR="00FB7AFC" w:rsidRDefault="00FB7AFC" w:rsidP="00526022">
            <w:pPr>
              <w:spacing w:after="0"/>
              <w:rPr>
                <w:rFonts w:ascii="Arial" w:eastAsia="Arial" w:hAnsi="Arial" w:cs="Arial"/>
                <w:color w:val="000001"/>
                <w:sz w:val="18"/>
                <w:szCs w:val="18"/>
              </w:rPr>
            </w:pPr>
            <w:r w:rsidRPr="00FD0593">
              <w:rPr>
                <w:rFonts w:ascii="Arial" w:eastAsia="Times New Roman" w:hAnsi="Arial" w:cs="Arial"/>
                <w:color w:val="000001"/>
                <w:sz w:val="18"/>
                <w:szCs w:val="18"/>
                <w:lang w:eastAsia="es-SV"/>
              </w:rPr>
              <w:t> </w:t>
            </w:r>
            <w:r>
              <w:rPr>
                <w:rFonts w:ascii="Arial" w:eastAsia="Arial" w:hAnsi="Arial" w:cs="Arial"/>
                <w:color w:val="000001"/>
                <w:sz w:val="18"/>
                <w:szCs w:val="18"/>
              </w:rPr>
              <w:t>Número de mujeres atendidas por primera vez en la clínica de alto riesgo reproductivo/</w:t>
            </w:r>
          </w:p>
          <w:p w14:paraId="2F4F5E21" w14:textId="77777777" w:rsidR="00FB7AFC" w:rsidRPr="00FD0593" w:rsidRDefault="00FB7AFC" w:rsidP="00526022">
            <w:pPr>
              <w:spacing w:after="0" w:line="240" w:lineRule="auto"/>
              <w:rPr>
                <w:rFonts w:ascii="Arial" w:eastAsia="Times New Roman" w:hAnsi="Arial" w:cs="Arial"/>
                <w:color w:val="000001"/>
                <w:sz w:val="18"/>
                <w:szCs w:val="18"/>
                <w:lang w:eastAsia="es-SV"/>
              </w:rPr>
            </w:pPr>
            <w:proofErr w:type="gramStart"/>
            <w:r>
              <w:rPr>
                <w:rFonts w:ascii="Arial" w:eastAsia="Arial" w:hAnsi="Arial" w:cs="Arial"/>
                <w:color w:val="000001"/>
                <w:sz w:val="18"/>
                <w:szCs w:val="18"/>
              </w:rPr>
              <w:t>Total</w:t>
            </w:r>
            <w:proofErr w:type="gramEnd"/>
            <w:r>
              <w:rPr>
                <w:rFonts w:ascii="Arial" w:eastAsia="Arial" w:hAnsi="Arial" w:cs="Arial"/>
                <w:color w:val="000001"/>
                <w:sz w:val="18"/>
                <w:szCs w:val="18"/>
              </w:rPr>
              <w:t xml:space="preserve"> de Mujeres con enfermedades crónicas y edad reproductiva hospitalizadas en medicina Interna y referidas a la Clínica Alto Riesgo Reproductivo</w:t>
            </w:r>
          </w:p>
        </w:tc>
        <w:tc>
          <w:tcPr>
            <w:tcW w:w="1048" w:type="dxa"/>
            <w:tcBorders>
              <w:top w:val="nil"/>
              <w:left w:val="nil"/>
              <w:bottom w:val="nil"/>
              <w:right w:val="single" w:sz="4" w:space="0" w:color="000001"/>
            </w:tcBorders>
            <w:shd w:val="clear" w:color="auto" w:fill="auto"/>
            <w:hideMark/>
          </w:tcPr>
          <w:p w14:paraId="12DAD54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Informes </w:t>
            </w:r>
          </w:p>
        </w:tc>
        <w:tc>
          <w:tcPr>
            <w:tcW w:w="1773" w:type="dxa"/>
            <w:tcBorders>
              <w:top w:val="nil"/>
              <w:left w:val="nil"/>
              <w:bottom w:val="nil"/>
              <w:right w:val="single" w:sz="4" w:space="0" w:color="000001"/>
            </w:tcBorders>
            <w:shd w:val="clear" w:color="auto" w:fill="auto"/>
            <w:noWrap/>
            <w:hideMark/>
          </w:tcPr>
          <w:p w14:paraId="7034F4F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Jefe de Medicina Interna  </w:t>
            </w:r>
          </w:p>
        </w:tc>
        <w:tc>
          <w:tcPr>
            <w:tcW w:w="558" w:type="dxa"/>
            <w:tcBorders>
              <w:top w:val="nil"/>
              <w:left w:val="nil"/>
              <w:bottom w:val="nil"/>
              <w:right w:val="single" w:sz="4" w:space="0" w:color="000001"/>
            </w:tcBorders>
            <w:shd w:val="clear" w:color="auto" w:fill="auto"/>
            <w:hideMark/>
          </w:tcPr>
          <w:p w14:paraId="3AA657F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nil"/>
              <w:right w:val="single" w:sz="4" w:space="0" w:color="000001"/>
            </w:tcBorders>
            <w:shd w:val="clear" w:color="auto" w:fill="auto"/>
            <w:hideMark/>
          </w:tcPr>
          <w:p w14:paraId="1A8A377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nil"/>
              <w:right w:val="single" w:sz="4" w:space="0" w:color="000001"/>
            </w:tcBorders>
            <w:shd w:val="clear" w:color="auto" w:fill="auto"/>
            <w:hideMark/>
          </w:tcPr>
          <w:p w14:paraId="437F813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441" w:type="dxa"/>
            <w:tcBorders>
              <w:top w:val="nil"/>
              <w:left w:val="nil"/>
              <w:bottom w:val="nil"/>
              <w:right w:val="single" w:sz="4" w:space="0" w:color="000001"/>
            </w:tcBorders>
            <w:shd w:val="clear" w:color="auto" w:fill="auto"/>
            <w:hideMark/>
          </w:tcPr>
          <w:p w14:paraId="0D8BF2E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537" w:type="dxa"/>
            <w:tcBorders>
              <w:top w:val="nil"/>
              <w:left w:val="nil"/>
              <w:bottom w:val="nil"/>
              <w:right w:val="single" w:sz="4" w:space="0" w:color="000001"/>
            </w:tcBorders>
            <w:shd w:val="clear" w:color="auto" w:fill="auto"/>
            <w:hideMark/>
          </w:tcPr>
          <w:p w14:paraId="4CF2EB1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nil"/>
              <w:right w:val="single" w:sz="4" w:space="0" w:color="000001"/>
            </w:tcBorders>
            <w:shd w:val="clear" w:color="auto" w:fill="auto"/>
            <w:hideMark/>
          </w:tcPr>
          <w:p w14:paraId="1E32141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nil"/>
              <w:right w:val="single" w:sz="4" w:space="0" w:color="000001"/>
            </w:tcBorders>
            <w:shd w:val="clear" w:color="auto" w:fill="auto"/>
            <w:hideMark/>
          </w:tcPr>
          <w:p w14:paraId="0239B9C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nil"/>
              <w:right w:val="single" w:sz="4" w:space="0" w:color="000000"/>
            </w:tcBorders>
            <w:shd w:val="clear" w:color="000000" w:fill="AEAAAA"/>
            <w:hideMark/>
          </w:tcPr>
          <w:p w14:paraId="7B98F80F" w14:textId="77777777" w:rsidR="00FB7AFC" w:rsidRPr="00FD0593" w:rsidRDefault="00FB7AFC" w:rsidP="00526022">
            <w:pPr>
              <w:spacing w:after="0" w:line="240" w:lineRule="auto"/>
              <w:rPr>
                <w:rFonts w:ascii="Arial" w:eastAsia="Times New Roman" w:hAnsi="Arial" w:cs="Arial"/>
                <w:sz w:val="20"/>
                <w:szCs w:val="20"/>
                <w:lang w:eastAsia="es-SV"/>
              </w:rPr>
            </w:pPr>
            <w:r w:rsidRPr="00FD0593">
              <w:rPr>
                <w:rFonts w:ascii="Arial" w:eastAsia="Times New Roman" w:hAnsi="Arial" w:cs="Arial"/>
                <w:sz w:val="20"/>
                <w:szCs w:val="20"/>
                <w:lang w:eastAsia="es-SV"/>
              </w:rPr>
              <w:t>No Satisfactorio.</w:t>
            </w:r>
            <w:r>
              <w:rPr>
                <w:rFonts w:ascii="Arial" w:eastAsia="Times New Roman" w:hAnsi="Arial" w:cs="Arial"/>
                <w:sz w:val="20"/>
                <w:szCs w:val="20"/>
                <w:lang w:eastAsia="es-SV"/>
              </w:rPr>
              <w:t xml:space="preserve"> 0 %</w:t>
            </w:r>
            <w:r w:rsidRPr="00FD0593">
              <w:rPr>
                <w:rFonts w:ascii="Arial" w:eastAsia="Times New Roman" w:hAnsi="Arial" w:cs="Arial"/>
                <w:sz w:val="20"/>
                <w:szCs w:val="20"/>
                <w:lang w:eastAsia="es-SV"/>
              </w:rPr>
              <w:br/>
              <w:t>Se ha cumplido la búsqueda de pacientes para CARR dentro del servicio de medicina, pero las pacientes no cumplen con los criterios de asignación por lo tanto el registro de consultas es bajo. Se requiere intervención del primer nivel para fortalecer este programa</w:t>
            </w:r>
          </w:p>
        </w:tc>
      </w:tr>
      <w:tr w:rsidR="00FB7AFC" w:rsidRPr="00FD0593" w14:paraId="08F19EB2" w14:textId="77777777" w:rsidTr="00526022">
        <w:trPr>
          <w:trHeight w:val="297"/>
        </w:trPr>
        <w:tc>
          <w:tcPr>
            <w:tcW w:w="591" w:type="dxa"/>
            <w:tcBorders>
              <w:top w:val="single" w:sz="4" w:space="0" w:color="000001"/>
              <w:left w:val="single" w:sz="4" w:space="0" w:color="000000"/>
              <w:bottom w:val="single" w:sz="4" w:space="0" w:color="000001"/>
              <w:right w:val="single" w:sz="4" w:space="0" w:color="000001"/>
            </w:tcBorders>
            <w:shd w:val="clear" w:color="auto" w:fill="auto"/>
            <w:hideMark/>
          </w:tcPr>
          <w:p w14:paraId="319C143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1.4 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4BBF677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Resultado esperado: Contribuir a la disminución de la morbi mortalidad Materna y Perinatal mediante atención CODIGO ROJO  </w:t>
            </w:r>
          </w:p>
        </w:tc>
      </w:tr>
      <w:tr w:rsidR="00FB7AFC" w:rsidRPr="00FD0593" w14:paraId="3A0E39CC" w14:textId="77777777" w:rsidTr="00526022">
        <w:trPr>
          <w:gridAfter w:val="1"/>
          <w:wAfter w:w="6" w:type="dxa"/>
          <w:trHeight w:val="3093"/>
        </w:trPr>
        <w:tc>
          <w:tcPr>
            <w:tcW w:w="591" w:type="dxa"/>
            <w:tcBorders>
              <w:top w:val="nil"/>
              <w:left w:val="single" w:sz="4" w:space="0" w:color="000000"/>
              <w:bottom w:val="single" w:sz="4" w:space="0" w:color="000001"/>
              <w:right w:val="single" w:sz="4" w:space="0" w:color="000001"/>
            </w:tcBorders>
            <w:shd w:val="clear" w:color="auto" w:fill="auto"/>
            <w:hideMark/>
          </w:tcPr>
          <w:p w14:paraId="3861D14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1.4.1 </w:t>
            </w:r>
          </w:p>
        </w:tc>
        <w:tc>
          <w:tcPr>
            <w:tcW w:w="3072" w:type="dxa"/>
            <w:tcBorders>
              <w:top w:val="nil"/>
              <w:left w:val="nil"/>
              <w:bottom w:val="single" w:sz="4" w:space="0" w:color="000001"/>
              <w:right w:val="single" w:sz="4" w:space="0" w:color="000001"/>
            </w:tcBorders>
            <w:shd w:val="clear" w:color="auto" w:fill="auto"/>
            <w:hideMark/>
          </w:tcPr>
          <w:p w14:paraId="1BA7717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Manejo del CÓDIGO ROJO de acuerdo a normativa y disminuir las complicaciones. </w:t>
            </w:r>
          </w:p>
        </w:tc>
        <w:tc>
          <w:tcPr>
            <w:tcW w:w="1661" w:type="dxa"/>
            <w:tcBorders>
              <w:top w:val="nil"/>
              <w:left w:val="nil"/>
              <w:bottom w:val="single" w:sz="4" w:space="0" w:color="000001"/>
              <w:right w:val="single" w:sz="4" w:space="0" w:color="000001"/>
            </w:tcBorders>
            <w:shd w:val="clear" w:color="auto" w:fill="auto"/>
            <w:hideMark/>
          </w:tcPr>
          <w:p w14:paraId="01B954D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Protocolo cumplido protocolo/Total de pacientes código rojo </w:t>
            </w:r>
          </w:p>
        </w:tc>
        <w:tc>
          <w:tcPr>
            <w:tcW w:w="1048" w:type="dxa"/>
            <w:tcBorders>
              <w:top w:val="nil"/>
              <w:left w:val="nil"/>
              <w:bottom w:val="single" w:sz="4" w:space="0" w:color="000001"/>
              <w:right w:val="single" w:sz="4" w:space="0" w:color="000001"/>
            </w:tcBorders>
            <w:shd w:val="clear" w:color="auto" w:fill="auto"/>
            <w:hideMark/>
          </w:tcPr>
          <w:p w14:paraId="3DF8E88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nil"/>
              <w:left w:val="nil"/>
              <w:bottom w:val="single" w:sz="4" w:space="0" w:color="000001"/>
              <w:right w:val="single" w:sz="4" w:space="0" w:color="000001"/>
            </w:tcBorders>
            <w:shd w:val="clear" w:color="auto" w:fill="auto"/>
            <w:hideMark/>
          </w:tcPr>
          <w:p w14:paraId="10FCE81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Dr. Rafael Maravilla</w:t>
            </w:r>
            <w:r w:rsidRPr="00FD0593">
              <w:rPr>
                <w:rFonts w:ascii="WordVisiCarriageReturn_MSFontSe" w:eastAsia="Times New Roman" w:hAnsi="WordVisiCarriageReturn_MSFontSe" w:cs="Arial"/>
                <w:color w:val="000001"/>
                <w:sz w:val="18"/>
                <w:szCs w:val="18"/>
                <w:lang w:eastAsia="es-SV"/>
              </w:rPr>
              <w:t> </w:t>
            </w:r>
            <w:r w:rsidRPr="00FD0593">
              <w:rPr>
                <w:rFonts w:ascii="Arial" w:eastAsia="Times New Roman" w:hAnsi="Arial" w:cs="Arial"/>
                <w:color w:val="000001"/>
                <w:sz w:val="18"/>
                <w:szCs w:val="18"/>
                <w:lang w:eastAsia="es-SV"/>
              </w:rPr>
              <w:br/>
              <w:t>Licda. Claudia Zetino</w:t>
            </w:r>
            <w:r w:rsidRPr="00FD0593">
              <w:rPr>
                <w:rFonts w:ascii="WordVisiCarriageReturn_MSFontSe" w:eastAsia="Times New Roman" w:hAnsi="WordVisiCarriageReturn_MSFontSe" w:cs="Arial"/>
                <w:color w:val="000001"/>
                <w:sz w:val="18"/>
                <w:szCs w:val="18"/>
                <w:lang w:eastAsia="es-SV"/>
              </w:rPr>
              <w:t> </w:t>
            </w:r>
            <w:r w:rsidRPr="00FD0593">
              <w:rPr>
                <w:rFonts w:ascii="Arial" w:eastAsia="Times New Roman" w:hAnsi="Arial" w:cs="Arial"/>
                <w:color w:val="000001"/>
                <w:sz w:val="18"/>
                <w:szCs w:val="18"/>
                <w:lang w:eastAsia="es-SV"/>
              </w:rPr>
              <w:br/>
              <w:t>Licda.  Carmen Guevara</w:t>
            </w:r>
            <w:r w:rsidRPr="00FD0593">
              <w:rPr>
                <w:rFonts w:ascii="WordVisiCarriageReturn_MSFontSe" w:eastAsia="Times New Roman" w:hAnsi="WordVisiCarriageReturn_MSFontSe" w:cs="Arial"/>
                <w:color w:val="000001"/>
                <w:sz w:val="18"/>
                <w:szCs w:val="18"/>
                <w:lang w:eastAsia="es-SV"/>
              </w:rPr>
              <w:t> </w:t>
            </w:r>
            <w:r w:rsidRPr="00FD0593">
              <w:rPr>
                <w:rFonts w:ascii="Arial" w:eastAsia="Times New Roman" w:hAnsi="Arial" w:cs="Arial"/>
                <w:color w:val="000001"/>
                <w:sz w:val="18"/>
                <w:szCs w:val="18"/>
                <w:lang w:eastAsia="es-SV"/>
              </w:rPr>
              <w:br/>
              <w:t>Personal médico y de enfermería de centro Obstétrico y maternidad </w:t>
            </w:r>
          </w:p>
        </w:tc>
        <w:tc>
          <w:tcPr>
            <w:tcW w:w="558" w:type="dxa"/>
            <w:tcBorders>
              <w:top w:val="nil"/>
              <w:left w:val="nil"/>
              <w:bottom w:val="single" w:sz="4" w:space="0" w:color="000001"/>
              <w:right w:val="single" w:sz="4" w:space="0" w:color="000001"/>
            </w:tcBorders>
            <w:shd w:val="clear" w:color="auto" w:fill="auto"/>
            <w:hideMark/>
          </w:tcPr>
          <w:p w14:paraId="515FDC6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6596F11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6AAB2C5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43D0AF3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single" w:sz="4" w:space="0" w:color="000001"/>
              <w:right w:val="single" w:sz="4" w:space="0" w:color="000001"/>
            </w:tcBorders>
            <w:shd w:val="clear" w:color="auto" w:fill="auto"/>
            <w:hideMark/>
          </w:tcPr>
          <w:p w14:paraId="37DDBD5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50B6C5C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0ECEE64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auto" w:fill="auto"/>
            <w:hideMark/>
          </w:tcPr>
          <w:p w14:paraId="3263CF23" w14:textId="77777777" w:rsidR="00FB7AFC" w:rsidRPr="00FD0593" w:rsidRDefault="00FB7AFC" w:rsidP="00526022">
            <w:pPr>
              <w:spacing w:after="0" w:line="240" w:lineRule="auto"/>
              <w:rPr>
                <w:rFonts w:ascii="Arial" w:eastAsia="Times New Roman" w:hAnsi="Arial" w:cs="Arial"/>
                <w:color w:val="000001"/>
                <w:sz w:val="20"/>
                <w:szCs w:val="20"/>
                <w:lang w:eastAsia="es-SV"/>
              </w:rPr>
            </w:pPr>
            <w:r w:rsidRPr="00FD0593">
              <w:rPr>
                <w:rFonts w:ascii="Arial" w:eastAsia="Times New Roman" w:hAnsi="Arial" w:cs="Arial"/>
                <w:color w:val="000001"/>
                <w:sz w:val="20"/>
                <w:szCs w:val="20"/>
                <w:lang w:eastAsia="es-SV"/>
              </w:rPr>
              <w:t>Satisfactorio.</w:t>
            </w:r>
            <w:r>
              <w:rPr>
                <w:rFonts w:ascii="Arial" w:eastAsia="Times New Roman" w:hAnsi="Arial" w:cs="Arial"/>
                <w:color w:val="000001"/>
                <w:sz w:val="20"/>
                <w:szCs w:val="20"/>
                <w:lang w:eastAsia="es-SV"/>
              </w:rPr>
              <w:t>100 %</w:t>
            </w:r>
            <w:r w:rsidRPr="00FD0593">
              <w:rPr>
                <w:rFonts w:ascii="Arial" w:eastAsia="Times New Roman" w:hAnsi="Arial" w:cs="Arial"/>
                <w:color w:val="000001"/>
                <w:sz w:val="20"/>
                <w:szCs w:val="20"/>
                <w:lang w:eastAsia="es-SV"/>
              </w:rPr>
              <w:t xml:space="preserve"> Se tuvieron 2 casos de código rojo en este trimestre los cuales cumplen con los lineamientos de manejo. </w:t>
            </w:r>
          </w:p>
        </w:tc>
      </w:tr>
      <w:tr w:rsidR="00FB7AFC" w:rsidRPr="00FD0593" w14:paraId="408CE198" w14:textId="77777777" w:rsidTr="00526022">
        <w:trPr>
          <w:gridAfter w:val="1"/>
          <w:wAfter w:w="6" w:type="dxa"/>
          <w:trHeight w:val="1189"/>
        </w:trPr>
        <w:tc>
          <w:tcPr>
            <w:tcW w:w="591" w:type="dxa"/>
            <w:tcBorders>
              <w:top w:val="nil"/>
              <w:left w:val="single" w:sz="4" w:space="0" w:color="000000"/>
              <w:bottom w:val="single" w:sz="4" w:space="0" w:color="000001"/>
              <w:right w:val="single" w:sz="4" w:space="0" w:color="000001"/>
            </w:tcBorders>
            <w:shd w:val="clear" w:color="auto" w:fill="auto"/>
            <w:hideMark/>
          </w:tcPr>
          <w:p w14:paraId="4ECC16E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1.4.2 </w:t>
            </w:r>
          </w:p>
        </w:tc>
        <w:tc>
          <w:tcPr>
            <w:tcW w:w="3072" w:type="dxa"/>
            <w:tcBorders>
              <w:top w:val="nil"/>
              <w:left w:val="nil"/>
              <w:bottom w:val="single" w:sz="4" w:space="0" w:color="000001"/>
              <w:right w:val="single" w:sz="4" w:space="0" w:color="000001"/>
            </w:tcBorders>
            <w:shd w:val="clear" w:color="auto" w:fill="auto"/>
            <w:hideMark/>
          </w:tcPr>
          <w:p w14:paraId="0697AD48" w14:textId="77777777" w:rsidR="00FB7AFC"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Capacitaciones y Revisión del tema del </w:t>
            </w:r>
          </w:p>
          <w:p w14:paraId="03DF655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Código Rojo a personal </w:t>
            </w:r>
          </w:p>
        </w:tc>
        <w:tc>
          <w:tcPr>
            <w:tcW w:w="1661" w:type="dxa"/>
            <w:tcBorders>
              <w:top w:val="nil"/>
              <w:left w:val="nil"/>
              <w:bottom w:val="single" w:sz="4" w:space="0" w:color="000001"/>
              <w:right w:val="single" w:sz="4" w:space="0" w:color="000001"/>
            </w:tcBorders>
            <w:shd w:val="clear" w:color="auto" w:fill="auto"/>
            <w:hideMark/>
          </w:tcPr>
          <w:p w14:paraId="2C3EBD2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capacitaciones realizadas/ Capacitaciones programada </w:t>
            </w:r>
          </w:p>
        </w:tc>
        <w:tc>
          <w:tcPr>
            <w:tcW w:w="1048" w:type="dxa"/>
            <w:tcBorders>
              <w:top w:val="nil"/>
              <w:left w:val="nil"/>
              <w:bottom w:val="single" w:sz="4" w:space="0" w:color="000001"/>
              <w:right w:val="single" w:sz="4" w:space="0" w:color="000001"/>
            </w:tcBorders>
            <w:shd w:val="clear" w:color="auto" w:fill="auto"/>
            <w:hideMark/>
          </w:tcPr>
          <w:p w14:paraId="7DEC3EA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Lista de asistencia </w:t>
            </w:r>
          </w:p>
        </w:tc>
        <w:tc>
          <w:tcPr>
            <w:tcW w:w="1773" w:type="dxa"/>
            <w:tcBorders>
              <w:top w:val="nil"/>
              <w:left w:val="nil"/>
              <w:bottom w:val="single" w:sz="4" w:space="0" w:color="000001"/>
              <w:right w:val="single" w:sz="4" w:space="0" w:color="000001"/>
            </w:tcBorders>
            <w:shd w:val="clear" w:color="auto" w:fill="auto"/>
            <w:hideMark/>
          </w:tcPr>
          <w:p w14:paraId="6B2BE48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Dr. Rafael Maravilla</w:t>
            </w:r>
            <w:r w:rsidRPr="00FD0593">
              <w:rPr>
                <w:rFonts w:ascii="WordVisiCarriageReturn_MSFontSe" w:eastAsia="Times New Roman" w:hAnsi="WordVisiCarriageReturn_MSFontSe" w:cs="Arial"/>
                <w:color w:val="000001"/>
                <w:sz w:val="18"/>
                <w:szCs w:val="18"/>
                <w:lang w:eastAsia="es-SV"/>
              </w:rPr>
              <w:t> </w:t>
            </w:r>
            <w:r w:rsidRPr="00FD0593">
              <w:rPr>
                <w:rFonts w:ascii="Arial" w:eastAsia="Times New Roman" w:hAnsi="Arial" w:cs="Arial"/>
                <w:color w:val="000001"/>
                <w:sz w:val="18"/>
                <w:szCs w:val="18"/>
                <w:lang w:eastAsia="es-SV"/>
              </w:rPr>
              <w:br/>
              <w:t>Licda. Claudia Zetino</w:t>
            </w:r>
            <w:r w:rsidRPr="00FD0593">
              <w:rPr>
                <w:rFonts w:ascii="WordVisiCarriageReturn_MSFontSe" w:eastAsia="Times New Roman" w:hAnsi="WordVisiCarriageReturn_MSFontSe" w:cs="Arial"/>
                <w:color w:val="000001"/>
                <w:sz w:val="18"/>
                <w:szCs w:val="18"/>
                <w:lang w:eastAsia="es-SV"/>
              </w:rPr>
              <w:t> </w:t>
            </w:r>
            <w:r w:rsidRPr="00FD0593">
              <w:rPr>
                <w:rFonts w:ascii="Arial" w:eastAsia="Times New Roman" w:hAnsi="Arial" w:cs="Arial"/>
                <w:color w:val="000001"/>
                <w:sz w:val="18"/>
                <w:szCs w:val="18"/>
                <w:lang w:eastAsia="es-SV"/>
              </w:rPr>
              <w:br/>
              <w:t>Licda.  </w:t>
            </w:r>
          </w:p>
        </w:tc>
        <w:tc>
          <w:tcPr>
            <w:tcW w:w="558" w:type="dxa"/>
            <w:tcBorders>
              <w:top w:val="nil"/>
              <w:left w:val="nil"/>
              <w:bottom w:val="single" w:sz="4" w:space="0" w:color="000001"/>
              <w:right w:val="single" w:sz="4" w:space="0" w:color="000001"/>
            </w:tcBorders>
            <w:shd w:val="clear" w:color="auto" w:fill="auto"/>
            <w:hideMark/>
          </w:tcPr>
          <w:p w14:paraId="0DEA1B4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3 </w:t>
            </w:r>
          </w:p>
        </w:tc>
        <w:tc>
          <w:tcPr>
            <w:tcW w:w="537" w:type="dxa"/>
            <w:tcBorders>
              <w:top w:val="nil"/>
              <w:left w:val="nil"/>
              <w:bottom w:val="single" w:sz="4" w:space="0" w:color="000001"/>
              <w:right w:val="single" w:sz="4" w:space="0" w:color="000001"/>
            </w:tcBorders>
            <w:shd w:val="clear" w:color="auto" w:fill="auto"/>
            <w:hideMark/>
          </w:tcPr>
          <w:p w14:paraId="69255AB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59161C3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4045158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single" w:sz="4" w:space="0" w:color="000001"/>
              <w:right w:val="single" w:sz="4" w:space="0" w:color="000001"/>
            </w:tcBorders>
            <w:shd w:val="clear" w:color="auto" w:fill="auto"/>
            <w:hideMark/>
          </w:tcPr>
          <w:p w14:paraId="355730E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6CFB365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7C60016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auto" w:fill="auto"/>
            <w:hideMark/>
          </w:tcPr>
          <w:p w14:paraId="0A224142" w14:textId="77777777" w:rsidR="00FB7AFC" w:rsidRDefault="00FB7AFC" w:rsidP="00526022">
            <w:pPr>
              <w:spacing w:after="0" w:line="240" w:lineRule="auto"/>
              <w:rPr>
                <w:rFonts w:ascii="Arial" w:eastAsia="Times New Roman" w:hAnsi="Arial" w:cs="Arial"/>
                <w:color w:val="000001"/>
                <w:sz w:val="20"/>
                <w:szCs w:val="20"/>
                <w:lang w:eastAsia="es-SV"/>
              </w:rPr>
            </w:pPr>
            <w:r w:rsidRPr="00FD0593">
              <w:rPr>
                <w:rFonts w:ascii="Arial" w:eastAsia="Times New Roman" w:hAnsi="Arial" w:cs="Arial"/>
                <w:color w:val="000001"/>
                <w:sz w:val="20"/>
                <w:szCs w:val="20"/>
                <w:lang w:eastAsia="es-SV"/>
              </w:rPr>
              <w:t>Satisfactorio.</w:t>
            </w:r>
            <w:r>
              <w:rPr>
                <w:rFonts w:ascii="Arial" w:eastAsia="Times New Roman" w:hAnsi="Arial" w:cs="Arial"/>
                <w:color w:val="000001"/>
                <w:sz w:val="20"/>
                <w:szCs w:val="20"/>
                <w:lang w:eastAsia="es-SV"/>
              </w:rPr>
              <w:t>100 %</w:t>
            </w:r>
            <w:r w:rsidRPr="00FD0593">
              <w:rPr>
                <w:rFonts w:ascii="Arial" w:eastAsia="Times New Roman" w:hAnsi="Arial" w:cs="Arial"/>
                <w:color w:val="000001"/>
                <w:sz w:val="20"/>
                <w:szCs w:val="20"/>
                <w:lang w:eastAsia="es-SV"/>
              </w:rPr>
              <w:t xml:space="preserve"> Se ha capacitado 20 recursos del personal multidisciplinario y se realizaron dos simulacros. </w:t>
            </w:r>
          </w:p>
          <w:p w14:paraId="5F2E320E" w14:textId="77777777" w:rsidR="00FB7AFC" w:rsidRDefault="00FB7AFC" w:rsidP="00526022">
            <w:pPr>
              <w:spacing w:after="0" w:line="240" w:lineRule="auto"/>
              <w:rPr>
                <w:rFonts w:ascii="Arial" w:eastAsia="Times New Roman" w:hAnsi="Arial" w:cs="Arial"/>
                <w:color w:val="000001"/>
                <w:sz w:val="20"/>
                <w:szCs w:val="20"/>
                <w:lang w:eastAsia="es-SV"/>
              </w:rPr>
            </w:pPr>
          </w:p>
          <w:p w14:paraId="0A431BF4" w14:textId="77777777" w:rsidR="00FB7AFC" w:rsidRDefault="00FB7AFC" w:rsidP="00526022">
            <w:pPr>
              <w:spacing w:after="0" w:line="240" w:lineRule="auto"/>
              <w:rPr>
                <w:rFonts w:ascii="Arial" w:eastAsia="Times New Roman" w:hAnsi="Arial" w:cs="Arial"/>
                <w:color w:val="000001"/>
                <w:sz w:val="20"/>
                <w:szCs w:val="20"/>
                <w:lang w:eastAsia="es-SV"/>
              </w:rPr>
            </w:pPr>
          </w:p>
          <w:p w14:paraId="4B942373" w14:textId="77777777" w:rsidR="00FB7AFC" w:rsidRDefault="00FB7AFC" w:rsidP="00526022">
            <w:pPr>
              <w:spacing w:after="0" w:line="240" w:lineRule="auto"/>
              <w:rPr>
                <w:rFonts w:ascii="Arial" w:eastAsia="Times New Roman" w:hAnsi="Arial" w:cs="Arial"/>
                <w:color w:val="000001"/>
                <w:sz w:val="20"/>
                <w:szCs w:val="20"/>
                <w:lang w:eastAsia="es-SV"/>
              </w:rPr>
            </w:pPr>
          </w:p>
          <w:p w14:paraId="0D20DB61" w14:textId="77777777" w:rsidR="00FB7AFC" w:rsidRPr="00FD0593" w:rsidRDefault="00FB7AFC" w:rsidP="00526022">
            <w:pPr>
              <w:spacing w:after="0" w:line="240" w:lineRule="auto"/>
              <w:rPr>
                <w:rFonts w:ascii="Arial" w:eastAsia="Times New Roman" w:hAnsi="Arial" w:cs="Arial"/>
                <w:color w:val="000001"/>
                <w:sz w:val="20"/>
                <w:szCs w:val="20"/>
                <w:lang w:eastAsia="es-SV"/>
              </w:rPr>
            </w:pPr>
          </w:p>
        </w:tc>
      </w:tr>
      <w:tr w:rsidR="00FB7AFC" w:rsidRPr="00FD0593" w14:paraId="56F4A975"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auto"/>
            <w:hideMark/>
          </w:tcPr>
          <w:p w14:paraId="77B7576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1.5 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4FA062A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Resultado esperado: MEJORAR LA SALUD DE LAS PERSONAS ADULTO MAYORES CON ENFERMEDADES CRÓNICAS </w:t>
            </w:r>
          </w:p>
        </w:tc>
      </w:tr>
      <w:tr w:rsidR="00FB7AFC" w:rsidRPr="00FD0593" w14:paraId="183C7E33" w14:textId="77777777" w:rsidTr="00526022">
        <w:trPr>
          <w:gridAfter w:val="1"/>
          <w:wAfter w:w="6" w:type="dxa"/>
          <w:trHeight w:val="951"/>
        </w:trPr>
        <w:tc>
          <w:tcPr>
            <w:tcW w:w="591" w:type="dxa"/>
            <w:tcBorders>
              <w:top w:val="nil"/>
              <w:left w:val="single" w:sz="4" w:space="0" w:color="000000"/>
              <w:bottom w:val="nil"/>
              <w:right w:val="single" w:sz="4" w:space="0" w:color="000001"/>
            </w:tcBorders>
            <w:shd w:val="clear" w:color="auto" w:fill="auto"/>
            <w:hideMark/>
          </w:tcPr>
          <w:p w14:paraId="0315C7B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1.5.1 </w:t>
            </w:r>
          </w:p>
        </w:tc>
        <w:tc>
          <w:tcPr>
            <w:tcW w:w="3072" w:type="dxa"/>
            <w:tcBorders>
              <w:top w:val="nil"/>
              <w:left w:val="nil"/>
              <w:bottom w:val="nil"/>
              <w:right w:val="single" w:sz="4" w:space="0" w:color="000001"/>
            </w:tcBorders>
            <w:shd w:val="clear" w:color="auto" w:fill="auto"/>
            <w:noWrap/>
            <w:hideMark/>
          </w:tcPr>
          <w:p w14:paraId="759BABFE" w14:textId="77777777" w:rsidR="00FB7AFC" w:rsidRPr="00FD0593" w:rsidRDefault="00FB7AFC" w:rsidP="00526022">
            <w:pPr>
              <w:spacing w:after="0" w:line="240" w:lineRule="auto"/>
              <w:rPr>
                <w:rFonts w:ascii="Arial" w:eastAsia="Times New Roman" w:hAnsi="Arial" w:cs="Arial"/>
                <w:sz w:val="18"/>
                <w:szCs w:val="18"/>
                <w:lang w:eastAsia="es-SV"/>
              </w:rPr>
            </w:pPr>
            <w:r w:rsidRPr="00FD0593">
              <w:rPr>
                <w:rFonts w:ascii="Arial" w:eastAsia="Times New Roman" w:hAnsi="Arial" w:cs="Arial"/>
                <w:sz w:val="18"/>
                <w:szCs w:val="18"/>
                <w:lang w:eastAsia="es-SV"/>
              </w:rPr>
              <w:t> </w:t>
            </w:r>
            <w:r>
              <w:rPr>
                <w:rFonts w:ascii="Arial" w:eastAsia="Arial" w:hAnsi="Arial" w:cs="Arial"/>
                <w:color w:val="000001"/>
                <w:sz w:val="18"/>
                <w:szCs w:val="18"/>
              </w:rPr>
              <w:t>Actividades de Educación en ECNT (Redes sociales, radio, charlas a usuarios y sesiones educativas</w:t>
            </w:r>
          </w:p>
        </w:tc>
        <w:tc>
          <w:tcPr>
            <w:tcW w:w="1661" w:type="dxa"/>
            <w:tcBorders>
              <w:top w:val="nil"/>
              <w:left w:val="nil"/>
              <w:bottom w:val="nil"/>
              <w:right w:val="single" w:sz="4" w:space="0" w:color="000001"/>
            </w:tcBorders>
            <w:shd w:val="clear" w:color="auto" w:fill="auto"/>
            <w:hideMark/>
          </w:tcPr>
          <w:p w14:paraId="70221A6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Actividades realizadas/ Actividades programadas </w:t>
            </w:r>
          </w:p>
        </w:tc>
        <w:tc>
          <w:tcPr>
            <w:tcW w:w="1048" w:type="dxa"/>
            <w:tcBorders>
              <w:top w:val="nil"/>
              <w:left w:val="nil"/>
              <w:bottom w:val="nil"/>
              <w:right w:val="single" w:sz="4" w:space="0" w:color="000001"/>
            </w:tcBorders>
            <w:shd w:val="clear" w:color="auto" w:fill="auto"/>
            <w:hideMark/>
          </w:tcPr>
          <w:p w14:paraId="675C886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nil"/>
              <w:left w:val="nil"/>
              <w:bottom w:val="nil"/>
              <w:right w:val="single" w:sz="4" w:space="0" w:color="000001"/>
            </w:tcBorders>
            <w:shd w:val="clear" w:color="auto" w:fill="auto"/>
            <w:hideMark/>
          </w:tcPr>
          <w:p w14:paraId="63EA02A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Edu Oscar Armando Cruz </w:t>
            </w:r>
          </w:p>
        </w:tc>
        <w:tc>
          <w:tcPr>
            <w:tcW w:w="558" w:type="dxa"/>
            <w:tcBorders>
              <w:top w:val="nil"/>
              <w:left w:val="nil"/>
              <w:bottom w:val="nil"/>
              <w:right w:val="single" w:sz="4" w:space="0" w:color="000001"/>
            </w:tcBorders>
            <w:shd w:val="clear" w:color="auto" w:fill="auto"/>
            <w:hideMark/>
          </w:tcPr>
          <w:p w14:paraId="2373B63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nil"/>
              <w:right w:val="single" w:sz="4" w:space="0" w:color="000001"/>
            </w:tcBorders>
            <w:shd w:val="clear" w:color="auto" w:fill="auto"/>
            <w:hideMark/>
          </w:tcPr>
          <w:p w14:paraId="2921A8F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nil"/>
              <w:right w:val="single" w:sz="4" w:space="0" w:color="000001"/>
            </w:tcBorders>
            <w:shd w:val="clear" w:color="auto" w:fill="auto"/>
            <w:hideMark/>
          </w:tcPr>
          <w:p w14:paraId="0B5B7E1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nil"/>
              <w:right w:val="single" w:sz="4" w:space="0" w:color="000001"/>
            </w:tcBorders>
            <w:shd w:val="clear" w:color="auto" w:fill="auto"/>
            <w:hideMark/>
          </w:tcPr>
          <w:p w14:paraId="5001364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nil"/>
              <w:right w:val="single" w:sz="4" w:space="0" w:color="000001"/>
            </w:tcBorders>
            <w:shd w:val="clear" w:color="auto" w:fill="auto"/>
            <w:hideMark/>
          </w:tcPr>
          <w:p w14:paraId="598D5B8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nil"/>
              <w:right w:val="single" w:sz="4" w:space="0" w:color="000001"/>
            </w:tcBorders>
            <w:shd w:val="clear" w:color="auto" w:fill="auto"/>
            <w:hideMark/>
          </w:tcPr>
          <w:p w14:paraId="1EFC1F6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nil"/>
              <w:right w:val="single" w:sz="4" w:space="0" w:color="000001"/>
            </w:tcBorders>
            <w:shd w:val="clear" w:color="auto" w:fill="auto"/>
            <w:hideMark/>
          </w:tcPr>
          <w:p w14:paraId="494EA84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nil"/>
              <w:right w:val="single" w:sz="4" w:space="0" w:color="000000"/>
            </w:tcBorders>
            <w:shd w:val="clear" w:color="auto" w:fill="auto"/>
            <w:hideMark/>
          </w:tcPr>
          <w:p w14:paraId="699BC75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Satisfactorio</w:t>
            </w:r>
            <w:r>
              <w:rPr>
                <w:rFonts w:ascii="Arial" w:eastAsia="Times New Roman" w:hAnsi="Arial" w:cs="Arial"/>
                <w:color w:val="000001"/>
                <w:sz w:val="18"/>
                <w:szCs w:val="18"/>
                <w:lang w:eastAsia="es-SV"/>
              </w:rPr>
              <w:t xml:space="preserve"> al 100 %</w:t>
            </w:r>
            <w:r w:rsidRPr="00FD0593">
              <w:rPr>
                <w:rFonts w:ascii="Arial" w:eastAsia="Times New Roman" w:hAnsi="Arial" w:cs="Arial"/>
                <w:color w:val="000001"/>
                <w:sz w:val="18"/>
                <w:szCs w:val="18"/>
                <w:lang w:eastAsia="es-SV"/>
              </w:rPr>
              <w:br/>
              <w:t xml:space="preserve">Se ha cumplido con las actividades de educación en charlas y uso de redes sociales. </w:t>
            </w:r>
          </w:p>
        </w:tc>
      </w:tr>
      <w:tr w:rsidR="00FB7AFC" w:rsidRPr="00FD0593" w14:paraId="315FAAEE" w14:textId="77777777" w:rsidTr="00526022">
        <w:trPr>
          <w:gridAfter w:val="1"/>
          <w:wAfter w:w="6" w:type="dxa"/>
          <w:trHeight w:val="951"/>
        </w:trPr>
        <w:tc>
          <w:tcPr>
            <w:tcW w:w="591" w:type="dxa"/>
            <w:tcBorders>
              <w:top w:val="single" w:sz="4" w:space="0" w:color="000001"/>
              <w:left w:val="single" w:sz="4" w:space="0" w:color="000000"/>
              <w:bottom w:val="nil"/>
              <w:right w:val="single" w:sz="4" w:space="0" w:color="000001"/>
            </w:tcBorders>
            <w:shd w:val="clear" w:color="auto" w:fill="auto"/>
            <w:hideMark/>
          </w:tcPr>
          <w:p w14:paraId="63C2399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lastRenderedPageBreak/>
              <w:t>1.5.2 </w:t>
            </w:r>
          </w:p>
        </w:tc>
        <w:tc>
          <w:tcPr>
            <w:tcW w:w="3072" w:type="dxa"/>
            <w:tcBorders>
              <w:top w:val="single" w:sz="4" w:space="0" w:color="000001"/>
              <w:left w:val="nil"/>
              <w:bottom w:val="nil"/>
              <w:right w:val="single" w:sz="4" w:space="0" w:color="000001"/>
            </w:tcBorders>
            <w:shd w:val="clear" w:color="auto" w:fill="auto"/>
            <w:noWrap/>
            <w:hideMark/>
          </w:tcPr>
          <w:p w14:paraId="2D27AE72" w14:textId="77777777" w:rsidR="00FB7AFC" w:rsidRPr="00FD0593" w:rsidRDefault="00FB7AFC" w:rsidP="00526022">
            <w:pPr>
              <w:spacing w:after="0" w:line="240" w:lineRule="auto"/>
              <w:rPr>
                <w:rFonts w:ascii="Arial" w:eastAsia="Times New Roman" w:hAnsi="Arial" w:cs="Arial"/>
                <w:sz w:val="18"/>
                <w:szCs w:val="18"/>
                <w:lang w:eastAsia="es-SV"/>
              </w:rPr>
            </w:pPr>
            <w:r w:rsidRPr="00FD0593">
              <w:rPr>
                <w:rFonts w:ascii="Arial" w:eastAsia="Times New Roman" w:hAnsi="Arial" w:cs="Arial"/>
                <w:sz w:val="18"/>
                <w:szCs w:val="18"/>
                <w:lang w:eastAsia="es-SV"/>
              </w:rPr>
              <w:t>Atenciones nutricionales de pacientes con ECNT </w:t>
            </w:r>
          </w:p>
        </w:tc>
        <w:tc>
          <w:tcPr>
            <w:tcW w:w="1661" w:type="dxa"/>
            <w:tcBorders>
              <w:top w:val="single" w:sz="4" w:space="0" w:color="000001"/>
              <w:left w:val="nil"/>
              <w:bottom w:val="nil"/>
              <w:right w:val="single" w:sz="4" w:space="0" w:color="000001"/>
            </w:tcBorders>
            <w:shd w:val="clear" w:color="auto" w:fill="auto"/>
            <w:hideMark/>
          </w:tcPr>
          <w:p w14:paraId="665C106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Clasificación según IMC / Total de pacientes atendidos </w:t>
            </w:r>
          </w:p>
        </w:tc>
        <w:tc>
          <w:tcPr>
            <w:tcW w:w="1048" w:type="dxa"/>
            <w:tcBorders>
              <w:top w:val="single" w:sz="4" w:space="0" w:color="000001"/>
              <w:left w:val="nil"/>
              <w:bottom w:val="nil"/>
              <w:right w:val="single" w:sz="4" w:space="0" w:color="000001"/>
            </w:tcBorders>
            <w:shd w:val="clear" w:color="auto" w:fill="auto"/>
            <w:hideMark/>
          </w:tcPr>
          <w:p w14:paraId="74EEE43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single" w:sz="4" w:space="0" w:color="000001"/>
              <w:left w:val="nil"/>
              <w:bottom w:val="nil"/>
              <w:right w:val="single" w:sz="4" w:space="0" w:color="000001"/>
            </w:tcBorders>
            <w:shd w:val="clear" w:color="auto" w:fill="auto"/>
            <w:hideMark/>
          </w:tcPr>
          <w:p w14:paraId="0BB6CC4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Licda. Tania Valencia </w:t>
            </w:r>
          </w:p>
        </w:tc>
        <w:tc>
          <w:tcPr>
            <w:tcW w:w="558" w:type="dxa"/>
            <w:tcBorders>
              <w:top w:val="single" w:sz="4" w:space="0" w:color="000001"/>
              <w:left w:val="nil"/>
              <w:bottom w:val="nil"/>
              <w:right w:val="single" w:sz="4" w:space="0" w:color="000001"/>
            </w:tcBorders>
            <w:shd w:val="clear" w:color="auto" w:fill="auto"/>
            <w:hideMark/>
          </w:tcPr>
          <w:p w14:paraId="7EC8A59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single" w:sz="4" w:space="0" w:color="000001"/>
              <w:left w:val="nil"/>
              <w:bottom w:val="nil"/>
              <w:right w:val="single" w:sz="4" w:space="0" w:color="000001"/>
            </w:tcBorders>
            <w:shd w:val="clear" w:color="auto" w:fill="auto"/>
            <w:hideMark/>
          </w:tcPr>
          <w:p w14:paraId="7284DF0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single" w:sz="4" w:space="0" w:color="000001"/>
              <w:left w:val="nil"/>
              <w:bottom w:val="nil"/>
              <w:right w:val="single" w:sz="4" w:space="0" w:color="000001"/>
            </w:tcBorders>
            <w:shd w:val="clear" w:color="auto" w:fill="auto"/>
            <w:hideMark/>
          </w:tcPr>
          <w:p w14:paraId="6E6DF03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441" w:type="dxa"/>
            <w:tcBorders>
              <w:top w:val="single" w:sz="4" w:space="0" w:color="000001"/>
              <w:left w:val="nil"/>
              <w:bottom w:val="nil"/>
              <w:right w:val="single" w:sz="4" w:space="0" w:color="000001"/>
            </w:tcBorders>
            <w:shd w:val="clear" w:color="auto" w:fill="auto"/>
            <w:hideMark/>
          </w:tcPr>
          <w:p w14:paraId="0AA5E0A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537" w:type="dxa"/>
            <w:tcBorders>
              <w:top w:val="single" w:sz="4" w:space="0" w:color="000001"/>
              <w:left w:val="nil"/>
              <w:bottom w:val="nil"/>
              <w:right w:val="single" w:sz="4" w:space="0" w:color="000001"/>
            </w:tcBorders>
            <w:shd w:val="clear" w:color="auto" w:fill="auto"/>
            <w:hideMark/>
          </w:tcPr>
          <w:p w14:paraId="18A90D3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single" w:sz="4" w:space="0" w:color="000001"/>
              <w:left w:val="nil"/>
              <w:bottom w:val="nil"/>
              <w:right w:val="single" w:sz="4" w:space="0" w:color="000001"/>
            </w:tcBorders>
            <w:shd w:val="clear" w:color="auto" w:fill="auto"/>
            <w:hideMark/>
          </w:tcPr>
          <w:p w14:paraId="286CAB9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single" w:sz="4" w:space="0" w:color="000001"/>
              <w:left w:val="nil"/>
              <w:bottom w:val="nil"/>
              <w:right w:val="single" w:sz="4" w:space="0" w:color="000001"/>
            </w:tcBorders>
            <w:shd w:val="clear" w:color="auto" w:fill="auto"/>
            <w:hideMark/>
          </w:tcPr>
          <w:p w14:paraId="6BFF3A3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single" w:sz="4" w:space="0" w:color="000001"/>
              <w:left w:val="nil"/>
              <w:bottom w:val="nil"/>
              <w:right w:val="single" w:sz="4" w:space="0" w:color="000000"/>
            </w:tcBorders>
            <w:shd w:val="clear" w:color="auto" w:fill="auto"/>
            <w:hideMark/>
          </w:tcPr>
          <w:p w14:paraId="3969F819" w14:textId="77777777" w:rsidR="00FB7AFC" w:rsidRPr="00FD0593" w:rsidRDefault="00FB7AFC" w:rsidP="00526022">
            <w:pPr>
              <w:spacing w:after="0" w:line="240" w:lineRule="auto"/>
              <w:rPr>
                <w:rFonts w:ascii="Arial" w:eastAsia="Times New Roman" w:hAnsi="Arial" w:cs="Arial"/>
                <w:sz w:val="18"/>
                <w:szCs w:val="18"/>
                <w:lang w:eastAsia="es-SV"/>
              </w:rPr>
            </w:pPr>
            <w:r w:rsidRPr="00FD75BB">
              <w:rPr>
                <w:rFonts w:ascii="Arial" w:eastAsia="Times New Roman" w:hAnsi="Arial" w:cs="Arial"/>
                <w:sz w:val="18"/>
                <w:szCs w:val="18"/>
                <w:lang w:eastAsia="es-SV"/>
              </w:rPr>
              <w:t>Satisfactorio al 50 %</w:t>
            </w:r>
            <w:r w:rsidRPr="00FD0593">
              <w:rPr>
                <w:rFonts w:ascii="Arial" w:eastAsia="Times New Roman" w:hAnsi="Arial" w:cs="Arial"/>
                <w:sz w:val="18"/>
                <w:szCs w:val="18"/>
                <w:lang w:eastAsia="es-SV"/>
              </w:rPr>
              <w:t>. el primer trimestre no había recurso de Nutricionista en la institución, y en el segundo trimestre solo el 56% de ECNT se le efectuó la clasificación de IMC. Debe elaborarse medida correctiva de inmediata</w:t>
            </w:r>
          </w:p>
        </w:tc>
      </w:tr>
      <w:tr w:rsidR="00FB7AFC" w:rsidRPr="00FD0593" w14:paraId="42648383" w14:textId="77777777" w:rsidTr="00526022">
        <w:trPr>
          <w:gridAfter w:val="1"/>
          <w:wAfter w:w="6" w:type="dxa"/>
          <w:trHeight w:val="1903"/>
        </w:trPr>
        <w:tc>
          <w:tcPr>
            <w:tcW w:w="591" w:type="dxa"/>
            <w:tcBorders>
              <w:top w:val="single" w:sz="4" w:space="0" w:color="000001"/>
              <w:left w:val="single" w:sz="4" w:space="0" w:color="000000"/>
              <w:bottom w:val="nil"/>
              <w:right w:val="single" w:sz="4" w:space="0" w:color="000001"/>
            </w:tcBorders>
            <w:shd w:val="clear" w:color="auto" w:fill="auto"/>
            <w:hideMark/>
          </w:tcPr>
          <w:p w14:paraId="3E2D29C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1.5.3 </w:t>
            </w:r>
          </w:p>
        </w:tc>
        <w:tc>
          <w:tcPr>
            <w:tcW w:w="3072" w:type="dxa"/>
            <w:tcBorders>
              <w:top w:val="single" w:sz="4" w:space="0" w:color="000001"/>
              <w:left w:val="nil"/>
              <w:bottom w:val="nil"/>
              <w:right w:val="single" w:sz="4" w:space="0" w:color="000001"/>
            </w:tcBorders>
            <w:shd w:val="clear" w:color="auto" w:fill="auto"/>
            <w:noWrap/>
            <w:hideMark/>
          </w:tcPr>
          <w:p w14:paraId="65A79AEA" w14:textId="77777777" w:rsidR="00FB7AFC" w:rsidRPr="00FD0593" w:rsidRDefault="00FB7AFC" w:rsidP="00526022">
            <w:pPr>
              <w:spacing w:after="0" w:line="240" w:lineRule="auto"/>
              <w:rPr>
                <w:rFonts w:ascii="Arial" w:eastAsia="Times New Roman" w:hAnsi="Arial" w:cs="Arial"/>
                <w:sz w:val="18"/>
                <w:szCs w:val="18"/>
                <w:lang w:eastAsia="es-SV"/>
              </w:rPr>
            </w:pPr>
            <w:r w:rsidRPr="00FD0593">
              <w:rPr>
                <w:rFonts w:ascii="Arial" w:eastAsia="Times New Roman" w:hAnsi="Arial" w:cs="Arial"/>
                <w:sz w:val="18"/>
                <w:szCs w:val="18"/>
                <w:lang w:eastAsia="es-SV"/>
              </w:rPr>
              <w:t> </w:t>
            </w:r>
            <w:r>
              <w:rPr>
                <w:rFonts w:ascii="Arial" w:eastAsia="Arial" w:hAnsi="Arial" w:cs="Arial"/>
                <w:color w:val="000001"/>
                <w:sz w:val="18"/>
                <w:szCs w:val="18"/>
              </w:rPr>
              <w:t>Suministro garantizado de medicamentos e insumos para manejo de ECNT</w:t>
            </w:r>
          </w:p>
        </w:tc>
        <w:tc>
          <w:tcPr>
            <w:tcW w:w="1661" w:type="dxa"/>
            <w:tcBorders>
              <w:top w:val="single" w:sz="4" w:space="0" w:color="000001"/>
              <w:left w:val="nil"/>
              <w:bottom w:val="nil"/>
              <w:right w:val="single" w:sz="4" w:space="0" w:color="000001"/>
            </w:tcBorders>
            <w:shd w:val="clear" w:color="auto" w:fill="auto"/>
            <w:hideMark/>
          </w:tcPr>
          <w:p w14:paraId="69EEFFF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Abastecimiento actual/ abastecimiento meta </w:t>
            </w:r>
          </w:p>
        </w:tc>
        <w:tc>
          <w:tcPr>
            <w:tcW w:w="1048" w:type="dxa"/>
            <w:tcBorders>
              <w:top w:val="single" w:sz="4" w:space="0" w:color="000001"/>
              <w:left w:val="nil"/>
              <w:bottom w:val="nil"/>
              <w:right w:val="single" w:sz="4" w:space="0" w:color="000001"/>
            </w:tcBorders>
            <w:shd w:val="clear" w:color="auto" w:fill="auto"/>
            <w:hideMark/>
          </w:tcPr>
          <w:p w14:paraId="10DF65D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single" w:sz="4" w:space="0" w:color="000001"/>
              <w:left w:val="nil"/>
              <w:bottom w:val="nil"/>
              <w:right w:val="single" w:sz="4" w:space="0" w:color="000001"/>
            </w:tcBorders>
            <w:shd w:val="clear" w:color="auto" w:fill="auto"/>
            <w:hideMark/>
          </w:tcPr>
          <w:p w14:paraId="655326F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Dr. Oscar Alirio Amaya </w:t>
            </w:r>
          </w:p>
        </w:tc>
        <w:tc>
          <w:tcPr>
            <w:tcW w:w="558" w:type="dxa"/>
            <w:tcBorders>
              <w:top w:val="single" w:sz="4" w:space="0" w:color="000001"/>
              <w:left w:val="nil"/>
              <w:bottom w:val="nil"/>
              <w:right w:val="single" w:sz="4" w:space="0" w:color="000001"/>
            </w:tcBorders>
            <w:shd w:val="clear" w:color="auto" w:fill="auto"/>
            <w:hideMark/>
          </w:tcPr>
          <w:p w14:paraId="420B02F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single" w:sz="4" w:space="0" w:color="000001"/>
              <w:left w:val="nil"/>
              <w:bottom w:val="nil"/>
              <w:right w:val="single" w:sz="4" w:space="0" w:color="000001"/>
            </w:tcBorders>
            <w:shd w:val="clear" w:color="auto" w:fill="auto"/>
            <w:hideMark/>
          </w:tcPr>
          <w:p w14:paraId="3B7C7AE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single" w:sz="4" w:space="0" w:color="000001"/>
              <w:left w:val="nil"/>
              <w:bottom w:val="nil"/>
              <w:right w:val="single" w:sz="4" w:space="0" w:color="000001"/>
            </w:tcBorders>
            <w:shd w:val="clear" w:color="auto" w:fill="auto"/>
            <w:hideMark/>
          </w:tcPr>
          <w:p w14:paraId="3184590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single" w:sz="4" w:space="0" w:color="000001"/>
              <w:left w:val="nil"/>
              <w:bottom w:val="nil"/>
              <w:right w:val="single" w:sz="4" w:space="0" w:color="000001"/>
            </w:tcBorders>
            <w:shd w:val="clear" w:color="auto" w:fill="auto"/>
            <w:hideMark/>
          </w:tcPr>
          <w:p w14:paraId="3D57F1E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single" w:sz="4" w:space="0" w:color="000001"/>
              <w:left w:val="nil"/>
              <w:bottom w:val="nil"/>
              <w:right w:val="single" w:sz="4" w:space="0" w:color="000001"/>
            </w:tcBorders>
            <w:shd w:val="clear" w:color="auto" w:fill="auto"/>
            <w:hideMark/>
          </w:tcPr>
          <w:p w14:paraId="71E70F2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single" w:sz="4" w:space="0" w:color="000001"/>
              <w:left w:val="nil"/>
              <w:bottom w:val="nil"/>
              <w:right w:val="single" w:sz="4" w:space="0" w:color="000001"/>
            </w:tcBorders>
            <w:shd w:val="clear" w:color="auto" w:fill="auto"/>
            <w:hideMark/>
          </w:tcPr>
          <w:p w14:paraId="483CC01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single" w:sz="4" w:space="0" w:color="000001"/>
              <w:left w:val="nil"/>
              <w:bottom w:val="nil"/>
              <w:right w:val="single" w:sz="4" w:space="0" w:color="000001"/>
            </w:tcBorders>
            <w:shd w:val="clear" w:color="auto" w:fill="auto"/>
            <w:hideMark/>
          </w:tcPr>
          <w:p w14:paraId="5DA19D9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single" w:sz="4" w:space="0" w:color="000001"/>
              <w:left w:val="nil"/>
              <w:bottom w:val="nil"/>
              <w:right w:val="single" w:sz="4" w:space="0" w:color="000000"/>
            </w:tcBorders>
            <w:shd w:val="clear" w:color="auto" w:fill="auto"/>
            <w:hideMark/>
          </w:tcPr>
          <w:p w14:paraId="66FE1172" w14:textId="77777777" w:rsidR="002A6FA9"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Satisfactorio. </w:t>
            </w:r>
            <w:r>
              <w:rPr>
                <w:rFonts w:ascii="Arial" w:eastAsia="Times New Roman" w:hAnsi="Arial" w:cs="Arial"/>
                <w:color w:val="000001"/>
                <w:sz w:val="18"/>
                <w:szCs w:val="18"/>
                <w:lang w:eastAsia="es-SV"/>
              </w:rPr>
              <w:t>100 %</w:t>
            </w:r>
            <w:r w:rsidRPr="00FD0593">
              <w:rPr>
                <w:rFonts w:ascii="Arial" w:eastAsia="Times New Roman" w:hAnsi="Arial" w:cs="Arial"/>
                <w:color w:val="000001"/>
                <w:sz w:val="18"/>
                <w:szCs w:val="18"/>
                <w:lang w:eastAsia="es-SV"/>
              </w:rPr>
              <w:br/>
              <w:t>Se logra 97% de abastecimiento, aunque se tuvo desabastecimiento temporal de 7 medicamentos de ECNT que fueron solventado a su brevedad. Las causas fueron variadas, apoyo a otros hospitales, aumento por la apertura de la unidad renal, en donde la eritropoyetina tuvo problemas debido al manejo de pacientes renales enviados desde otros hospitales y de manejo de nefrología.</w:t>
            </w:r>
          </w:p>
          <w:p w14:paraId="007DC359" w14:textId="7F83310F" w:rsidR="00FB7AFC"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 </w:t>
            </w:r>
          </w:p>
          <w:p w14:paraId="1C27EAB9" w14:textId="1C04D576" w:rsidR="00FB7AFC" w:rsidRPr="00FD0593" w:rsidRDefault="00FB7AFC" w:rsidP="00526022">
            <w:pPr>
              <w:spacing w:after="0" w:line="240" w:lineRule="auto"/>
              <w:rPr>
                <w:rFonts w:ascii="Arial" w:eastAsia="Times New Roman" w:hAnsi="Arial" w:cs="Arial"/>
                <w:color w:val="000001"/>
                <w:sz w:val="18"/>
                <w:szCs w:val="18"/>
                <w:lang w:eastAsia="es-SV"/>
              </w:rPr>
            </w:pPr>
          </w:p>
        </w:tc>
      </w:tr>
      <w:tr w:rsidR="00FB7AFC" w:rsidRPr="00FD0593" w14:paraId="4D0FC3AF" w14:textId="77777777" w:rsidTr="00526022">
        <w:trPr>
          <w:gridAfter w:val="1"/>
          <w:wAfter w:w="6" w:type="dxa"/>
          <w:trHeight w:val="1427"/>
        </w:trPr>
        <w:tc>
          <w:tcPr>
            <w:tcW w:w="591" w:type="dxa"/>
            <w:tcBorders>
              <w:top w:val="single" w:sz="4" w:space="0" w:color="000001"/>
              <w:left w:val="single" w:sz="4" w:space="0" w:color="000000"/>
              <w:bottom w:val="nil"/>
              <w:right w:val="single" w:sz="4" w:space="0" w:color="000001"/>
            </w:tcBorders>
            <w:shd w:val="clear" w:color="auto" w:fill="auto"/>
            <w:hideMark/>
          </w:tcPr>
          <w:p w14:paraId="25161D4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1.5.4 </w:t>
            </w:r>
          </w:p>
        </w:tc>
        <w:tc>
          <w:tcPr>
            <w:tcW w:w="3072" w:type="dxa"/>
            <w:tcBorders>
              <w:top w:val="single" w:sz="4" w:space="0" w:color="000001"/>
              <w:left w:val="nil"/>
              <w:bottom w:val="nil"/>
              <w:right w:val="single" w:sz="4" w:space="0" w:color="000001"/>
            </w:tcBorders>
            <w:shd w:val="clear" w:color="auto" w:fill="auto"/>
            <w:hideMark/>
          </w:tcPr>
          <w:p w14:paraId="5C6EA4E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Entrega de medicamentos domiciliar a personas ECNT </w:t>
            </w:r>
          </w:p>
        </w:tc>
        <w:tc>
          <w:tcPr>
            <w:tcW w:w="1661" w:type="dxa"/>
            <w:tcBorders>
              <w:top w:val="single" w:sz="4" w:space="0" w:color="000001"/>
              <w:left w:val="nil"/>
              <w:bottom w:val="nil"/>
              <w:right w:val="single" w:sz="4" w:space="0" w:color="000001"/>
            </w:tcBorders>
            <w:shd w:val="clear" w:color="auto" w:fill="auto"/>
            <w:hideMark/>
          </w:tcPr>
          <w:p w14:paraId="1BB8356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Medicamentos enviados / Total de pacientes atendidos en Consulta Externa  </w:t>
            </w:r>
          </w:p>
        </w:tc>
        <w:tc>
          <w:tcPr>
            <w:tcW w:w="1048" w:type="dxa"/>
            <w:tcBorders>
              <w:top w:val="single" w:sz="4" w:space="0" w:color="000001"/>
              <w:left w:val="nil"/>
              <w:bottom w:val="nil"/>
              <w:right w:val="single" w:sz="4" w:space="0" w:color="000001"/>
            </w:tcBorders>
            <w:shd w:val="clear" w:color="auto" w:fill="auto"/>
            <w:hideMark/>
          </w:tcPr>
          <w:p w14:paraId="04E4F52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single" w:sz="4" w:space="0" w:color="000001"/>
              <w:left w:val="nil"/>
              <w:bottom w:val="nil"/>
              <w:right w:val="single" w:sz="4" w:space="0" w:color="000001"/>
            </w:tcBorders>
            <w:shd w:val="clear" w:color="auto" w:fill="auto"/>
            <w:noWrap/>
            <w:hideMark/>
          </w:tcPr>
          <w:p w14:paraId="5E9D990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Jefe de Farmacia </w:t>
            </w:r>
          </w:p>
        </w:tc>
        <w:tc>
          <w:tcPr>
            <w:tcW w:w="558" w:type="dxa"/>
            <w:tcBorders>
              <w:top w:val="single" w:sz="4" w:space="0" w:color="000001"/>
              <w:left w:val="nil"/>
              <w:bottom w:val="nil"/>
              <w:right w:val="single" w:sz="4" w:space="0" w:color="000001"/>
            </w:tcBorders>
            <w:shd w:val="clear" w:color="auto" w:fill="auto"/>
            <w:hideMark/>
          </w:tcPr>
          <w:p w14:paraId="5F03B24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single" w:sz="4" w:space="0" w:color="000001"/>
              <w:left w:val="nil"/>
              <w:bottom w:val="nil"/>
              <w:right w:val="single" w:sz="4" w:space="0" w:color="000001"/>
            </w:tcBorders>
            <w:shd w:val="clear" w:color="auto" w:fill="auto"/>
            <w:hideMark/>
          </w:tcPr>
          <w:p w14:paraId="2BDB0B6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single" w:sz="4" w:space="0" w:color="000001"/>
              <w:left w:val="nil"/>
              <w:bottom w:val="nil"/>
              <w:right w:val="single" w:sz="4" w:space="0" w:color="000001"/>
            </w:tcBorders>
            <w:shd w:val="clear" w:color="auto" w:fill="auto"/>
            <w:hideMark/>
          </w:tcPr>
          <w:p w14:paraId="0D50944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441" w:type="dxa"/>
            <w:tcBorders>
              <w:top w:val="single" w:sz="4" w:space="0" w:color="000001"/>
              <w:left w:val="nil"/>
              <w:bottom w:val="nil"/>
              <w:right w:val="single" w:sz="4" w:space="0" w:color="000001"/>
            </w:tcBorders>
            <w:shd w:val="clear" w:color="auto" w:fill="auto"/>
            <w:hideMark/>
          </w:tcPr>
          <w:p w14:paraId="6755544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537" w:type="dxa"/>
            <w:tcBorders>
              <w:top w:val="single" w:sz="4" w:space="0" w:color="000001"/>
              <w:left w:val="nil"/>
              <w:bottom w:val="nil"/>
              <w:right w:val="single" w:sz="4" w:space="0" w:color="000001"/>
            </w:tcBorders>
            <w:shd w:val="clear" w:color="auto" w:fill="auto"/>
            <w:hideMark/>
          </w:tcPr>
          <w:p w14:paraId="4F8F755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single" w:sz="4" w:space="0" w:color="000001"/>
              <w:left w:val="nil"/>
              <w:bottom w:val="nil"/>
              <w:right w:val="single" w:sz="4" w:space="0" w:color="000001"/>
            </w:tcBorders>
            <w:shd w:val="clear" w:color="auto" w:fill="auto"/>
            <w:hideMark/>
          </w:tcPr>
          <w:p w14:paraId="4D94ADD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single" w:sz="4" w:space="0" w:color="000001"/>
              <w:left w:val="nil"/>
              <w:bottom w:val="nil"/>
              <w:right w:val="single" w:sz="4" w:space="0" w:color="000001"/>
            </w:tcBorders>
            <w:shd w:val="clear" w:color="auto" w:fill="auto"/>
            <w:hideMark/>
          </w:tcPr>
          <w:p w14:paraId="5BDE164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single" w:sz="4" w:space="0" w:color="000001"/>
              <w:left w:val="nil"/>
              <w:bottom w:val="nil"/>
              <w:right w:val="single" w:sz="4" w:space="0" w:color="000000"/>
            </w:tcBorders>
            <w:shd w:val="clear" w:color="000000" w:fill="AEAAAA"/>
            <w:hideMark/>
          </w:tcPr>
          <w:p w14:paraId="01056050" w14:textId="77777777" w:rsidR="00FB7AFC" w:rsidRDefault="00FB7AFC" w:rsidP="00526022">
            <w:pPr>
              <w:spacing w:after="0" w:line="240" w:lineRule="auto"/>
              <w:rPr>
                <w:rFonts w:ascii="Arial" w:eastAsia="Times New Roman" w:hAnsi="Arial" w:cs="Arial"/>
                <w:sz w:val="18"/>
                <w:szCs w:val="18"/>
                <w:lang w:eastAsia="es-SV"/>
              </w:rPr>
            </w:pPr>
            <w:r w:rsidRPr="00FD0593">
              <w:rPr>
                <w:rFonts w:ascii="Arial" w:eastAsia="Times New Roman" w:hAnsi="Arial" w:cs="Arial"/>
                <w:sz w:val="18"/>
                <w:szCs w:val="18"/>
                <w:lang w:eastAsia="es-SV"/>
              </w:rPr>
              <w:t>No satisfactorio</w:t>
            </w:r>
            <w:r>
              <w:rPr>
                <w:rFonts w:ascii="Arial" w:eastAsia="Times New Roman" w:hAnsi="Arial" w:cs="Arial"/>
                <w:sz w:val="18"/>
                <w:szCs w:val="18"/>
                <w:lang w:eastAsia="es-SV"/>
              </w:rPr>
              <w:t xml:space="preserve"> 0 %</w:t>
            </w:r>
            <w:r w:rsidRPr="00FD0593">
              <w:rPr>
                <w:rFonts w:ascii="Arial" w:eastAsia="Times New Roman" w:hAnsi="Arial" w:cs="Arial"/>
                <w:sz w:val="18"/>
                <w:szCs w:val="18"/>
                <w:lang w:eastAsia="es-SV"/>
              </w:rPr>
              <w:t>. Farmacia no ha emitido informe sobre el desarrollo del programa, pero refleja que menos del 10% de los usuarios de ECNT lo reciben por correo. Además, hay quejas conocidas no registradas sobre llegadas tardías, falta de medicamentos o vivir en zonas no atendidas por correos. De esto se requiere un informe completo.</w:t>
            </w:r>
          </w:p>
          <w:p w14:paraId="042F05D7" w14:textId="77777777" w:rsidR="00FB7AFC" w:rsidRDefault="00FB7AFC" w:rsidP="00526022">
            <w:pPr>
              <w:spacing w:after="0" w:line="240" w:lineRule="auto"/>
              <w:rPr>
                <w:rFonts w:ascii="Arial" w:eastAsia="Times New Roman" w:hAnsi="Arial" w:cs="Arial"/>
                <w:sz w:val="18"/>
                <w:szCs w:val="18"/>
                <w:lang w:eastAsia="es-SV"/>
              </w:rPr>
            </w:pPr>
          </w:p>
          <w:p w14:paraId="5F9955CF" w14:textId="77777777" w:rsidR="00FB7AFC" w:rsidRDefault="00FB7AFC" w:rsidP="00526022">
            <w:pPr>
              <w:spacing w:after="0" w:line="240" w:lineRule="auto"/>
              <w:rPr>
                <w:rFonts w:ascii="Arial" w:eastAsia="Times New Roman" w:hAnsi="Arial" w:cs="Arial"/>
                <w:sz w:val="18"/>
                <w:szCs w:val="18"/>
                <w:lang w:eastAsia="es-SV"/>
              </w:rPr>
            </w:pPr>
          </w:p>
          <w:p w14:paraId="2D119C3A" w14:textId="77777777" w:rsidR="00FB7AFC" w:rsidRDefault="00FB7AFC" w:rsidP="00526022">
            <w:pPr>
              <w:spacing w:after="0" w:line="240" w:lineRule="auto"/>
              <w:rPr>
                <w:rFonts w:ascii="Arial" w:eastAsia="Times New Roman" w:hAnsi="Arial" w:cs="Arial"/>
                <w:sz w:val="18"/>
                <w:szCs w:val="18"/>
                <w:lang w:eastAsia="es-SV"/>
              </w:rPr>
            </w:pPr>
          </w:p>
          <w:p w14:paraId="72088CD5" w14:textId="187DCC41" w:rsidR="00FB7AFC" w:rsidRPr="00FD0593" w:rsidRDefault="00FB7AFC" w:rsidP="00526022">
            <w:pPr>
              <w:spacing w:after="0" w:line="240" w:lineRule="auto"/>
              <w:rPr>
                <w:rFonts w:ascii="Arial" w:eastAsia="Times New Roman" w:hAnsi="Arial" w:cs="Arial"/>
                <w:sz w:val="18"/>
                <w:szCs w:val="18"/>
                <w:lang w:eastAsia="es-SV"/>
              </w:rPr>
            </w:pPr>
          </w:p>
        </w:tc>
      </w:tr>
      <w:tr w:rsidR="00FB7AFC" w:rsidRPr="00FD0593" w14:paraId="69FDA901" w14:textId="77777777" w:rsidTr="00526022">
        <w:trPr>
          <w:trHeight w:val="297"/>
        </w:trPr>
        <w:tc>
          <w:tcPr>
            <w:tcW w:w="591" w:type="dxa"/>
            <w:tcBorders>
              <w:top w:val="single" w:sz="4" w:space="0" w:color="000001"/>
              <w:left w:val="single" w:sz="4" w:space="0" w:color="000000"/>
              <w:bottom w:val="single" w:sz="4" w:space="0" w:color="000001"/>
              <w:right w:val="single" w:sz="4" w:space="0" w:color="000001"/>
            </w:tcBorders>
            <w:shd w:val="clear" w:color="auto" w:fill="FFFF00"/>
            <w:hideMark/>
          </w:tcPr>
          <w:p w14:paraId="70D2F79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lastRenderedPageBreak/>
              <w:t>2 </w:t>
            </w:r>
          </w:p>
        </w:tc>
        <w:tc>
          <w:tcPr>
            <w:tcW w:w="13371" w:type="dxa"/>
            <w:gridSpan w:val="13"/>
            <w:tcBorders>
              <w:top w:val="single" w:sz="4" w:space="0" w:color="000001"/>
              <w:left w:val="nil"/>
              <w:bottom w:val="single" w:sz="4" w:space="0" w:color="000001"/>
              <w:right w:val="single" w:sz="4" w:space="0" w:color="000000"/>
            </w:tcBorders>
            <w:shd w:val="clear" w:color="auto" w:fill="FFFF00"/>
            <w:hideMark/>
          </w:tcPr>
          <w:p w14:paraId="68719F6B" w14:textId="77777777" w:rsidR="00FB7AFC" w:rsidRPr="00FD0593" w:rsidRDefault="00FB7AFC" w:rsidP="00526022">
            <w:pPr>
              <w:spacing w:after="0" w:line="240" w:lineRule="auto"/>
              <w:rPr>
                <w:rFonts w:ascii="Arial" w:eastAsia="Times New Roman" w:hAnsi="Arial" w:cs="Arial"/>
                <w:b/>
                <w:bCs/>
                <w:color w:val="000001"/>
                <w:sz w:val="18"/>
                <w:szCs w:val="18"/>
                <w:lang w:eastAsia="es-SV"/>
              </w:rPr>
            </w:pPr>
            <w:r w:rsidRPr="00FD0593">
              <w:rPr>
                <w:rFonts w:ascii="Arial" w:eastAsia="Times New Roman" w:hAnsi="Arial" w:cs="Arial"/>
                <w:b/>
                <w:bCs/>
                <w:color w:val="000001"/>
                <w:sz w:val="18"/>
                <w:szCs w:val="18"/>
                <w:lang w:eastAsia="es-SV"/>
              </w:rPr>
              <w:t>Objetivo: OE 5. Proteger la salud, mediante la vigilancia de las condiciones ambientales, para contribuir al desarrollo de la población</w:t>
            </w:r>
            <w:r w:rsidRPr="00FD0593">
              <w:rPr>
                <w:rFonts w:ascii="Arial" w:eastAsia="Times New Roman" w:hAnsi="Arial" w:cs="Arial"/>
                <w:color w:val="000001"/>
                <w:sz w:val="18"/>
                <w:szCs w:val="18"/>
                <w:lang w:eastAsia="es-SV"/>
              </w:rPr>
              <w:t> </w:t>
            </w:r>
          </w:p>
        </w:tc>
      </w:tr>
      <w:tr w:rsidR="00FB7AFC" w:rsidRPr="00FD0593" w14:paraId="3FB77114"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auto"/>
            <w:hideMark/>
          </w:tcPr>
          <w:p w14:paraId="4349831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763739F5" w14:textId="77777777" w:rsidR="00FB7AFC" w:rsidRPr="00FD0593" w:rsidRDefault="00FB7AFC" w:rsidP="00526022">
            <w:pPr>
              <w:spacing w:after="0" w:line="240" w:lineRule="auto"/>
              <w:rPr>
                <w:rFonts w:ascii="Arial" w:eastAsia="Times New Roman" w:hAnsi="Arial" w:cs="Arial"/>
                <w:b/>
                <w:bCs/>
                <w:color w:val="000001"/>
                <w:sz w:val="18"/>
                <w:szCs w:val="18"/>
                <w:lang w:eastAsia="es-SV"/>
              </w:rPr>
            </w:pPr>
            <w:r w:rsidRPr="00FD0593">
              <w:rPr>
                <w:rFonts w:ascii="Arial" w:eastAsia="Times New Roman" w:hAnsi="Arial" w:cs="Arial"/>
                <w:b/>
                <w:bCs/>
                <w:color w:val="000001"/>
                <w:sz w:val="18"/>
                <w:szCs w:val="18"/>
                <w:lang w:eastAsia="es-SV"/>
              </w:rPr>
              <w:t>OO 5.1. Vigilar los factores del entorno que podrían afectar la salud.</w:t>
            </w:r>
            <w:r w:rsidRPr="00FD0593">
              <w:rPr>
                <w:rFonts w:ascii="Arial" w:eastAsia="Times New Roman" w:hAnsi="Arial" w:cs="Arial"/>
                <w:color w:val="000001"/>
                <w:sz w:val="18"/>
                <w:szCs w:val="18"/>
                <w:lang w:eastAsia="es-SV"/>
              </w:rPr>
              <w:t> </w:t>
            </w:r>
          </w:p>
        </w:tc>
      </w:tr>
      <w:tr w:rsidR="00FB7AFC" w:rsidRPr="00FD0593" w14:paraId="635B1DF7"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auto"/>
            <w:hideMark/>
          </w:tcPr>
          <w:p w14:paraId="7B79D68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2.1 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0C27866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Resultado esperado: Evitar enfermedades del usuario y personal debido a uso de agua y el manejo de desechos hospitalarios </w:t>
            </w:r>
          </w:p>
        </w:tc>
      </w:tr>
      <w:tr w:rsidR="00FB7AFC" w:rsidRPr="00FD0593" w14:paraId="112E105B" w14:textId="77777777" w:rsidTr="00526022">
        <w:trPr>
          <w:gridAfter w:val="1"/>
          <w:wAfter w:w="6" w:type="dxa"/>
          <w:trHeight w:val="713"/>
        </w:trPr>
        <w:tc>
          <w:tcPr>
            <w:tcW w:w="591" w:type="dxa"/>
            <w:tcBorders>
              <w:top w:val="nil"/>
              <w:left w:val="single" w:sz="4" w:space="0" w:color="000000"/>
              <w:bottom w:val="single" w:sz="4" w:space="0" w:color="000001"/>
              <w:right w:val="single" w:sz="4" w:space="0" w:color="000001"/>
            </w:tcBorders>
            <w:shd w:val="clear" w:color="auto" w:fill="auto"/>
            <w:hideMark/>
          </w:tcPr>
          <w:p w14:paraId="399967B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2.1.1 </w:t>
            </w:r>
          </w:p>
        </w:tc>
        <w:tc>
          <w:tcPr>
            <w:tcW w:w="3072" w:type="dxa"/>
            <w:tcBorders>
              <w:top w:val="nil"/>
              <w:left w:val="nil"/>
              <w:bottom w:val="single" w:sz="4" w:space="0" w:color="000001"/>
              <w:right w:val="single" w:sz="4" w:space="0" w:color="000001"/>
            </w:tcBorders>
            <w:shd w:val="clear" w:color="auto" w:fill="auto"/>
            <w:hideMark/>
          </w:tcPr>
          <w:p w14:paraId="4D2BDEC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Vigilancia y monitoreo bacteriológico del Agua hospitalaria </w:t>
            </w:r>
          </w:p>
        </w:tc>
        <w:tc>
          <w:tcPr>
            <w:tcW w:w="1661" w:type="dxa"/>
            <w:tcBorders>
              <w:top w:val="nil"/>
              <w:left w:val="nil"/>
              <w:bottom w:val="single" w:sz="4" w:space="0" w:color="000001"/>
              <w:right w:val="single" w:sz="4" w:space="0" w:color="000001"/>
            </w:tcBorders>
            <w:shd w:val="clear" w:color="auto" w:fill="auto"/>
            <w:hideMark/>
          </w:tcPr>
          <w:p w14:paraId="270E13D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Monitoreo realizado / programado </w:t>
            </w:r>
          </w:p>
        </w:tc>
        <w:tc>
          <w:tcPr>
            <w:tcW w:w="1048" w:type="dxa"/>
            <w:tcBorders>
              <w:top w:val="nil"/>
              <w:left w:val="nil"/>
              <w:bottom w:val="single" w:sz="4" w:space="0" w:color="000001"/>
              <w:right w:val="single" w:sz="4" w:space="0" w:color="000001"/>
            </w:tcBorders>
            <w:shd w:val="clear" w:color="auto" w:fill="auto"/>
            <w:hideMark/>
          </w:tcPr>
          <w:p w14:paraId="621CFF7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nil"/>
              <w:left w:val="nil"/>
              <w:bottom w:val="single" w:sz="4" w:space="0" w:color="000001"/>
              <w:right w:val="single" w:sz="4" w:space="0" w:color="000001"/>
            </w:tcBorders>
            <w:shd w:val="clear" w:color="auto" w:fill="auto"/>
            <w:hideMark/>
          </w:tcPr>
          <w:p w14:paraId="0D82686E" w14:textId="77777777" w:rsidR="00FB7AFC" w:rsidRPr="00FD0593" w:rsidRDefault="00FB7AFC" w:rsidP="00526022">
            <w:pPr>
              <w:spacing w:after="0" w:line="240" w:lineRule="auto"/>
              <w:rPr>
                <w:rFonts w:ascii="Arial" w:eastAsia="Times New Roman" w:hAnsi="Arial" w:cs="Arial"/>
                <w:color w:val="000001"/>
                <w:sz w:val="18"/>
                <w:szCs w:val="18"/>
                <w:lang w:eastAsia="es-SV"/>
              </w:rPr>
            </w:pPr>
            <w:proofErr w:type="spellStart"/>
            <w:r w:rsidRPr="00FD0593">
              <w:rPr>
                <w:rFonts w:ascii="Arial" w:eastAsia="Times New Roman" w:hAnsi="Arial" w:cs="Arial"/>
                <w:color w:val="000001"/>
                <w:sz w:val="18"/>
                <w:szCs w:val="18"/>
                <w:lang w:eastAsia="es-SV"/>
              </w:rPr>
              <w:t>Insp</w:t>
            </w:r>
            <w:proofErr w:type="spellEnd"/>
            <w:r w:rsidRPr="00FD0593">
              <w:rPr>
                <w:rFonts w:ascii="Arial" w:eastAsia="Times New Roman" w:hAnsi="Arial" w:cs="Arial"/>
                <w:color w:val="000001"/>
                <w:sz w:val="18"/>
                <w:szCs w:val="18"/>
                <w:lang w:eastAsia="es-SV"/>
              </w:rPr>
              <w:t xml:space="preserve"> Ana Isabel Argueta </w:t>
            </w:r>
          </w:p>
        </w:tc>
        <w:tc>
          <w:tcPr>
            <w:tcW w:w="558" w:type="dxa"/>
            <w:tcBorders>
              <w:top w:val="nil"/>
              <w:left w:val="nil"/>
              <w:bottom w:val="single" w:sz="4" w:space="0" w:color="000001"/>
              <w:right w:val="single" w:sz="4" w:space="0" w:color="000001"/>
            </w:tcBorders>
            <w:shd w:val="clear" w:color="auto" w:fill="auto"/>
            <w:hideMark/>
          </w:tcPr>
          <w:p w14:paraId="5EED0DC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4735EED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7B17C73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441" w:type="dxa"/>
            <w:tcBorders>
              <w:top w:val="nil"/>
              <w:left w:val="nil"/>
              <w:bottom w:val="single" w:sz="4" w:space="0" w:color="000001"/>
              <w:right w:val="single" w:sz="4" w:space="0" w:color="000001"/>
            </w:tcBorders>
            <w:shd w:val="clear" w:color="auto" w:fill="auto"/>
            <w:hideMark/>
          </w:tcPr>
          <w:p w14:paraId="5A42ED3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537" w:type="dxa"/>
            <w:tcBorders>
              <w:top w:val="nil"/>
              <w:left w:val="nil"/>
              <w:bottom w:val="single" w:sz="4" w:space="0" w:color="000001"/>
              <w:right w:val="single" w:sz="4" w:space="0" w:color="000001"/>
            </w:tcBorders>
            <w:shd w:val="clear" w:color="auto" w:fill="auto"/>
            <w:hideMark/>
          </w:tcPr>
          <w:p w14:paraId="5493153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29A2E98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69E6B3F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000000" w:fill="AEAAAA"/>
            <w:hideMark/>
          </w:tcPr>
          <w:p w14:paraId="7956BD7E" w14:textId="77777777" w:rsidR="00FB7AFC" w:rsidRDefault="00FB7AFC" w:rsidP="00526022">
            <w:pPr>
              <w:spacing w:after="0" w:line="240" w:lineRule="auto"/>
              <w:rPr>
                <w:rFonts w:ascii="Arial" w:eastAsia="Times New Roman" w:hAnsi="Arial" w:cs="Arial"/>
                <w:sz w:val="18"/>
                <w:szCs w:val="18"/>
                <w:lang w:eastAsia="es-SV"/>
              </w:rPr>
            </w:pPr>
            <w:r w:rsidRPr="00FD0593">
              <w:rPr>
                <w:rFonts w:ascii="Arial" w:eastAsia="Times New Roman" w:hAnsi="Arial" w:cs="Arial"/>
                <w:sz w:val="18"/>
                <w:szCs w:val="18"/>
                <w:lang w:eastAsia="es-SV"/>
              </w:rPr>
              <w:t xml:space="preserve">No satisfactorio. </w:t>
            </w:r>
            <w:r>
              <w:rPr>
                <w:rFonts w:ascii="Arial" w:eastAsia="Times New Roman" w:hAnsi="Arial" w:cs="Arial"/>
                <w:sz w:val="18"/>
                <w:szCs w:val="18"/>
                <w:lang w:eastAsia="es-SV"/>
              </w:rPr>
              <w:t xml:space="preserve">0 % </w:t>
            </w:r>
            <w:r w:rsidRPr="00FD0593">
              <w:rPr>
                <w:rFonts w:ascii="Arial" w:eastAsia="Times New Roman" w:hAnsi="Arial" w:cs="Arial"/>
                <w:sz w:val="18"/>
                <w:szCs w:val="18"/>
                <w:lang w:eastAsia="es-SV"/>
              </w:rPr>
              <w:t>El laboratorio regional no ha procesado muestras desde agosto 2021 a la fecha</w:t>
            </w:r>
          </w:p>
          <w:p w14:paraId="5293F515" w14:textId="3AC6D7EF" w:rsidR="00FB7AFC" w:rsidRPr="00FD0593" w:rsidRDefault="00FB7AFC" w:rsidP="00526022">
            <w:pPr>
              <w:spacing w:after="0" w:line="240" w:lineRule="auto"/>
              <w:rPr>
                <w:rFonts w:ascii="Arial" w:eastAsia="Times New Roman" w:hAnsi="Arial" w:cs="Arial"/>
                <w:sz w:val="18"/>
                <w:szCs w:val="18"/>
                <w:lang w:eastAsia="es-SV"/>
              </w:rPr>
            </w:pPr>
          </w:p>
        </w:tc>
      </w:tr>
      <w:tr w:rsidR="00FB7AFC" w:rsidRPr="00FD0593" w14:paraId="391CF4B3" w14:textId="77777777" w:rsidTr="00526022">
        <w:trPr>
          <w:gridAfter w:val="1"/>
          <w:wAfter w:w="6" w:type="dxa"/>
          <w:trHeight w:val="951"/>
        </w:trPr>
        <w:tc>
          <w:tcPr>
            <w:tcW w:w="591" w:type="dxa"/>
            <w:tcBorders>
              <w:top w:val="nil"/>
              <w:left w:val="single" w:sz="4" w:space="0" w:color="000000"/>
              <w:bottom w:val="single" w:sz="4" w:space="0" w:color="000001"/>
              <w:right w:val="single" w:sz="4" w:space="0" w:color="000001"/>
            </w:tcBorders>
            <w:shd w:val="clear" w:color="auto" w:fill="auto"/>
            <w:hideMark/>
          </w:tcPr>
          <w:p w14:paraId="2F3631D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2.1.2 </w:t>
            </w:r>
          </w:p>
        </w:tc>
        <w:tc>
          <w:tcPr>
            <w:tcW w:w="3072" w:type="dxa"/>
            <w:tcBorders>
              <w:top w:val="nil"/>
              <w:left w:val="nil"/>
              <w:bottom w:val="single" w:sz="4" w:space="0" w:color="000001"/>
              <w:right w:val="single" w:sz="4" w:space="0" w:color="000001"/>
            </w:tcBorders>
            <w:shd w:val="clear" w:color="auto" w:fill="auto"/>
            <w:hideMark/>
          </w:tcPr>
          <w:p w14:paraId="4D2333E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Vigilancia y monitoreo de desechos Bio Infecciosos hospitalarios </w:t>
            </w:r>
          </w:p>
        </w:tc>
        <w:tc>
          <w:tcPr>
            <w:tcW w:w="1661" w:type="dxa"/>
            <w:tcBorders>
              <w:top w:val="nil"/>
              <w:left w:val="nil"/>
              <w:bottom w:val="single" w:sz="4" w:space="0" w:color="000001"/>
              <w:right w:val="single" w:sz="4" w:space="0" w:color="000001"/>
            </w:tcBorders>
            <w:shd w:val="clear" w:color="auto" w:fill="auto"/>
            <w:hideMark/>
          </w:tcPr>
          <w:p w14:paraId="5A8B68E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Monitoreo realizado / programado </w:t>
            </w:r>
          </w:p>
        </w:tc>
        <w:tc>
          <w:tcPr>
            <w:tcW w:w="1048" w:type="dxa"/>
            <w:tcBorders>
              <w:top w:val="nil"/>
              <w:left w:val="nil"/>
              <w:bottom w:val="single" w:sz="4" w:space="0" w:color="000001"/>
              <w:right w:val="single" w:sz="4" w:space="0" w:color="000001"/>
            </w:tcBorders>
            <w:shd w:val="clear" w:color="auto" w:fill="auto"/>
            <w:hideMark/>
          </w:tcPr>
          <w:p w14:paraId="314552E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nil"/>
              <w:left w:val="nil"/>
              <w:bottom w:val="single" w:sz="4" w:space="0" w:color="000001"/>
              <w:right w:val="single" w:sz="4" w:space="0" w:color="000001"/>
            </w:tcBorders>
            <w:shd w:val="clear" w:color="auto" w:fill="auto"/>
            <w:hideMark/>
          </w:tcPr>
          <w:p w14:paraId="4B89EC43" w14:textId="77777777" w:rsidR="00FB7AFC" w:rsidRPr="00FD0593" w:rsidRDefault="00FB7AFC" w:rsidP="00526022">
            <w:pPr>
              <w:spacing w:after="0" w:line="240" w:lineRule="auto"/>
              <w:rPr>
                <w:rFonts w:ascii="Arial" w:eastAsia="Times New Roman" w:hAnsi="Arial" w:cs="Arial"/>
                <w:color w:val="000001"/>
                <w:sz w:val="18"/>
                <w:szCs w:val="18"/>
                <w:lang w:eastAsia="es-SV"/>
              </w:rPr>
            </w:pPr>
            <w:proofErr w:type="spellStart"/>
            <w:r w:rsidRPr="00FD0593">
              <w:rPr>
                <w:rFonts w:ascii="Arial" w:eastAsia="Times New Roman" w:hAnsi="Arial" w:cs="Arial"/>
                <w:color w:val="000001"/>
                <w:sz w:val="18"/>
                <w:szCs w:val="18"/>
                <w:lang w:eastAsia="es-SV"/>
              </w:rPr>
              <w:t>Insp</w:t>
            </w:r>
            <w:proofErr w:type="spellEnd"/>
            <w:r w:rsidRPr="00FD0593">
              <w:rPr>
                <w:rFonts w:ascii="Arial" w:eastAsia="Times New Roman" w:hAnsi="Arial" w:cs="Arial"/>
                <w:color w:val="000001"/>
                <w:sz w:val="18"/>
                <w:szCs w:val="18"/>
                <w:lang w:eastAsia="es-SV"/>
              </w:rPr>
              <w:t xml:space="preserve"> Ana Isabel Argueta </w:t>
            </w:r>
          </w:p>
        </w:tc>
        <w:tc>
          <w:tcPr>
            <w:tcW w:w="558" w:type="dxa"/>
            <w:tcBorders>
              <w:top w:val="nil"/>
              <w:left w:val="nil"/>
              <w:bottom w:val="single" w:sz="4" w:space="0" w:color="000001"/>
              <w:right w:val="single" w:sz="4" w:space="0" w:color="000001"/>
            </w:tcBorders>
            <w:shd w:val="clear" w:color="auto" w:fill="auto"/>
            <w:hideMark/>
          </w:tcPr>
          <w:p w14:paraId="0539B4B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11D672F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6B049D0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2B09240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single" w:sz="4" w:space="0" w:color="000001"/>
              <w:right w:val="single" w:sz="4" w:space="0" w:color="000001"/>
            </w:tcBorders>
            <w:shd w:val="clear" w:color="auto" w:fill="auto"/>
            <w:hideMark/>
          </w:tcPr>
          <w:p w14:paraId="18B9198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101463B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79418AD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auto" w:fill="auto"/>
            <w:hideMark/>
          </w:tcPr>
          <w:p w14:paraId="6278388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Satisfactorio. </w:t>
            </w:r>
            <w:r w:rsidRPr="00FD0593">
              <w:rPr>
                <w:rFonts w:ascii="Arial" w:eastAsia="Times New Roman" w:hAnsi="Arial" w:cs="Arial"/>
                <w:color w:val="000001"/>
                <w:sz w:val="18"/>
                <w:szCs w:val="18"/>
                <w:lang w:eastAsia="es-SV"/>
              </w:rPr>
              <w:br/>
              <w:t>Cumple con lineamientos, lista de chequeo de evaluación de las diferentes áreas</w:t>
            </w:r>
          </w:p>
        </w:tc>
      </w:tr>
      <w:tr w:rsidR="00FB7AFC" w:rsidRPr="00FD0593" w14:paraId="6C38EB4B" w14:textId="77777777" w:rsidTr="00526022">
        <w:trPr>
          <w:gridAfter w:val="1"/>
          <w:wAfter w:w="6" w:type="dxa"/>
          <w:trHeight w:val="475"/>
        </w:trPr>
        <w:tc>
          <w:tcPr>
            <w:tcW w:w="591" w:type="dxa"/>
            <w:tcBorders>
              <w:top w:val="nil"/>
              <w:left w:val="single" w:sz="4" w:space="0" w:color="000000"/>
              <w:bottom w:val="single" w:sz="4" w:space="0" w:color="000001"/>
              <w:right w:val="single" w:sz="4" w:space="0" w:color="000001"/>
            </w:tcBorders>
            <w:shd w:val="clear" w:color="auto" w:fill="auto"/>
            <w:hideMark/>
          </w:tcPr>
          <w:p w14:paraId="26E43B3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2.1.3 </w:t>
            </w:r>
          </w:p>
        </w:tc>
        <w:tc>
          <w:tcPr>
            <w:tcW w:w="3072" w:type="dxa"/>
            <w:tcBorders>
              <w:top w:val="nil"/>
              <w:left w:val="nil"/>
              <w:bottom w:val="single" w:sz="4" w:space="0" w:color="000001"/>
              <w:right w:val="single" w:sz="4" w:space="0" w:color="000001"/>
            </w:tcBorders>
            <w:shd w:val="clear" w:color="auto" w:fill="auto"/>
            <w:hideMark/>
          </w:tcPr>
          <w:p w14:paraId="1CC06BB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Vigilancia y monitoreo de trazas metales </w:t>
            </w:r>
          </w:p>
        </w:tc>
        <w:tc>
          <w:tcPr>
            <w:tcW w:w="1661" w:type="dxa"/>
            <w:tcBorders>
              <w:top w:val="nil"/>
              <w:left w:val="nil"/>
              <w:bottom w:val="single" w:sz="4" w:space="0" w:color="000001"/>
              <w:right w:val="single" w:sz="4" w:space="0" w:color="000001"/>
            </w:tcBorders>
            <w:shd w:val="clear" w:color="auto" w:fill="auto"/>
            <w:hideMark/>
          </w:tcPr>
          <w:p w14:paraId="1CF066C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Monitoreo realizado / programado </w:t>
            </w:r>
          </w:p>
        </w:tc>
        <w:tc>
          <w:tcPr>
            <w:tcW w:w="1048" w:type="dxa"/>
            <w:tcBorders>
              <w:top w:val="nil"/>
              <w:left w:val="nil"/>
              <w:bottom w:val="single" w:sz="4" w:space="0" w:color="000001"/>
              <w:right w:val="single" w:sz="4" w:space="0" w:color="000001"/>
            </w:tcBorders>
            <w:shd w:val="clear" w:color="auto" w:fill="auto"/>
            <w:hideMark/>
          </w:tcPr>
          <w:p w14:paraId="4DA3B55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nil"/>
              <w:left w:val="nil"/>
              <w:bottom w:val="single" w:sz="4" w:space="0" w:color="000001"/>
              <w:right w:val="single" w:sz="4" w:space="0" w:color="000001"/>
            </w:tcBorders>
            <w:shd w:val="clear" w:color="auto" w:fill="auto"/>
            <w:hideMark/>
          </w:tcPr>
          <w:p w14:paraId="1C70844E" w14:textId="77777777" w:rsidR="00FB7AFC" w:rsidRPr="00FD0593" w:rsidRDefault="00FB7AFC" w:rsidP="00526022">
            <w:pPr>
              <w:spacing w:after="0" w:line="240" w:lineRule="auto"/>
              <w:rPr>
                <w:rFonts w:ascii="Arial" w:eastAsia="Times New Roman" w:hAnsi="Arial" w:cs="Arial"/>
                <w:color w:val="000001"/>
                <w:sz w:val="18"/>
                <w:szCs w:val="18"/>
                <w:lang w:eastAsia="es-SV"/>
              </w:rPr>
            </w:pPr>
            <w:proofErr w:type="spellStart"/>
            <w:r w:rsidRPr="00FD0593">
              <w:rPr>
                <w:rFonts w:ascii="Arial" w:eastAsia="Times New Roman" w:hAnsi="Arial" w:cs="Arial"/>
                <w:color w:val="000001"/>
                <w:sz w:val="18"/>
                <w:szCs w:val="18"/>
                <w:lang w:eastAsia="es-SV"/>
              </w:rPr>
              <w:t>Insp</w:t>
            </w:r>
            <w:proofErr w:type="spellEnd"/>
            <w:r w:rsidRPr="00FD0593">
              <w:rPr>
                <w:rFonts w:ascii="Arial" w:eastAsia="Times New Roman" w:hAnsi="Arial" w:cs="Arial"/>
                <w:color w:val="000001"/>
                <w:sz w:val="18"/>
                <w:szCs w:val="18"/>
                <w:lang w:eastAsia="es-SV"/>
              </w:rPr>
              <w:t xml:space="preserve"> Ana Isabel Argueta </w:t>
            </w:r>
          </w:p>
        </w:tc>
        <w:tc>
          <w:tcPr>
            <w:tcW w:w="558" w:type="dxa"/>
            <w:tcBorders>
              <w:top w:val="nil"/>
              <w:left w:val="nil"/>
              <w:bottom w:val="single" w:sz="4" w:space="0" w:color="000001"/>
              <w:right w:val="single" w:sz="4" w:space="0" w:color="000001"/>
            </w:tcBorders>
            <w:shd w:val="clear" w:color="auto" w:fill="auto"/>
            <w:hideMark/>
          </w:tcPr>
          <w:p w14:paraId="2390529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72BC614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3FED1AD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441" w:type="dxa"/>
            <w:tcBorders>
              <w:top w:val="nil"/>
              <w:left w:val="nil"/>
              <w:bottom w:val="single" w:sz="4" w:space="0" w:color="000001"/>
              <w:right w:val="single" w:sz="4" w:space="0" w:color="000001"/>
            </w:tcBorders>
            <w:shd w:val="clear" w:color="auto" w:fill="auto"/>
            <w:hideMark/>
          </w:tcPr>
          <w:p w14:paraId="062B848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0</w:t>
            </w:r>
          </w:p>
        </w:tc>
        <w:tc>
          <w:tcPr>
            <w:tcW w:w="537" w:type="dxa"/>
            <w:tcBorders>
              <w:top w:val="nil"/>
              <w:left w:val="nil"/>
              <w:bottom w:val="single" w:sz="4" w:space="0" w:color="000001"/>
              <w:right w:val="single" w:sz="4" w:space="0" w:color="000001"/>
            </w:tcBorders>
            <w:shd w:val="clear" w:color="auto" w:fill="auto"/>
            <w:hideMark/>
          </w:tcPr>
          <w:p w14:paraId="4E88AB8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6C2A1F0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26F460F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000000" w:fill="AEAAAA"/>
            <w:hideMark/>
          </w:tcPr>
          <w:p w14:paraId="08382039" w14:textId="77777777" w:rsidR="00FB7AFC" w:rsidRPr="00FD0593" w:rsidRDefault="00FB7AFC" w:rsidP="00526022">
            <w:pPr>
              <w:spacing w:after="0" w:line="240" w:lineRule="auto"/>
              <w:rPr>
                <w:rFonts w:ascii="Arial" w:eastAsia="Times New Roman" w:hAnsi="Arial" w:cs="Arial"/>
                <w:sz w:val="18"/>
                <w:szCs w:val="18"/>
                <w:lang w:eastAsia="es-SV"/>
              </w:rPr>
            </w:pPr>
            <w:r w:rsidRPr="00FD0593">
              <w:rPr>
                <w:rFonts w:ascii="Arial" w:eastAsia="Times New Roman" w:hAnsi="Arial" w:cs="Arial"/>
                <w:sz w:val="18"/>
                <w:szCs w:val="18"/>
                <w:lang w:eastAsia="es-SV"/>
              </w:rPr>
              <w:t>No Satisfactorio</w:t>
            </w:r>
            <w:r>
              <w:rPr>
                <w:rFonts w:ascii="Arial" w:eastAsia="Times New Roman" w:hAnsi="Arial" w:cs="Arial"/>
                <w:sz w:val="18"/>
                <w:szCs w:val="18"/>
                <w:lang w:eastAsia="es-SV"/>
              </w:rPr>
              <w:t xml:space="preserve"> 0%</w:t>
            </w:r>
            <w:r w:rsidRPr="00FD0593">
              <w:rPr>
                <w:rFonts w:ascii="Arial" w:eastAsia="Times New Roman" w:hAnsi="Arial" w:cs="Arial"/>
                <w:sz w:val="18"/>
                <w:szCs w:val="18"/>
                <w:lang w:eastAsia="es-SV"/>
              </w:rPr>
              <w:t>. No hay informe de resultados de los análisis de elementos trazas desde laboratorio MAX BLOCH</w:t>
            </w:r>
          </w:p>
        </w:tc>
      </w:tr>
      <w:tr w:rsidR="00FB7AFC" w:rsidRPr="00FD0593" w14:paraId="76C8FDDF"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auto"/>
            <w:hideMark/>
          </w:tcPr>
          <w:p w14:paraId="5EA78C1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3 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5CB715B7" w14:textId="77777777" w:rsidR="00FB7AFC" w:rsidRPr="00FD0593" w:rsidRDefault="00FB7AFC" w:rsidP="00526022">
            <w:pPr>
              <w:spacing w:after="0" w:line="240" w:lineRule="auto"/>
              <w:rPr>
                <w:rFonts w:ascii="Arial" w:eastAsia="Times New Roman" w:hAnsi="Arial" w:cs="Arial"/>
                <w:b/>
                <w:bCs/>
                <w:color w:val="000001"/>
                <w:sz w:val="18"/>
                <w:szCs w:val="18"/>
                <w:lang w:eastAsia="es-SV"/>
              </w:rPr>
            </w:pPr>
            <w:r w:rsidRPr="00FD0593">
              <w:rPr>
                <w:rFonts w:ascii="Arial" w:eastAsia="Times New Roman" w:hAnsi="Arial" w:cs="Arial"/>
                <w:b/>
                <w:bCs/>
                <w:color w:val="000001"/>
                <w:sz w:val="18"/>
                <w:szCs w:val="18"/>
                <w:lang w:eastAsia="es-SV"/>
              </w:rPr>
              <w:t>Objetivo: OE 6. Promover la salud mediante el abordaje intersectorial de la determinación social de la salud</w:t>
            </w:r>
            <w:r w:rsidRPr="00FD0593">
              <w:rPr>
                <w:rFonts w:ascii="Arial" w:eastAsia="Times New Roman" w:hAnsi="Arial" w:cs="Arial"/>
                <w:color w:val="000001"/>
                <w:sz w:val="18"/>
                <w:szCs w:val="18"/>
                <w:lang w:eastAsia="es-SV"/>
              </w:rPr>
              <w:t> </w:t>
            </w:r>
          </w:p>
        </w:tc>
      </w:tr>
      <w:tr w:rsidR="00FB7AFC" w:rsidRPr="00FD0593" w14:paraId="7E24FD1A"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auto"/>
            <w:hideMark/>
          </w:tcPr>
          <w:p w14:paraId="17C03F89"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3.1 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4552376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Resultado esperado: participación ciudadana en contraloría social del hospital </w:t>
            </w:r>
          </w:p>
        </w:tc>
      </w:tr>
      <w:tr w:rsidR="00FB7AFC" w:rsidRPr="00FD0593" w14:paraId="2B44175D" w14:textId="77777777" w:rsidTr="00526022">
        <w:trPr>
          <w:gridAfter w:val="1"/>
          <w:wAfter w:w="6" w:type="dxa"/>
          <w:trHeight w:val="713"/>
        </w:trPr>
        <w:tc>
          <w:tcPr>
            <w:tcW w:w="591" w:type="dxa"/>
            <w:tcBorders>
              <w:top w:val="nil"/>
              <w:left w:val="single" w:sz="4" w:space="0" w:color="000000"/>
              <w:bottom w:val="single" w:sz="4" w:space="0" w:color="000001"/>
              <w:right w:val="single" w:sz="4" w:space="0" w:color="000001"/>
            </w:tcBorders>
            <w:shd w:val="clear" w:color="auto" w:fill="auto"/>
            <w:hideMark/>
          </w:tcPr>
          <w:p w14:paraId="6C0ECA99" w14:textId="77777777" w:rsidR="00FB7AFC" w:rsidRPr="00FD0593" w:rsidRDefault="00FB7AFC" w:rsidP="00526022">
            <w:pPr>
              <w:spacing w:after="0" w:line="240" w:lineRule="auto"/>
              <w:rPr>
                <w:rFonts w:ascii="Arial" w:eastAsia="Times New Roman" w:hAnsi="Arial" w:cs="Arial"/>
                <w:color w:val="000001"/>
                <w:sz w:val="16"/>
                <w:szCs w:val="16"/>
                <w:lang w:eastAsia="es-SV"/>
              </w:rPr>
            </w:pPr>
            <w:r w:rsidRPr="00FD0593">
              <w:rPr>
                <w:rFonts w:ascii="Arial" w:eastAsia="Times New Roman" w:hAnsi="Arial" w:cs="Arial"/>
                <w:color w:val="000001"/>
                <w:sz w:val="16"/>
                <w:szCs w:val="16"/>
                <w:lang w:eastAsia="es-SV"/>
              </w:rPr>
              <w:t>3.1.1 </w:t>
            </w:r>
          </w:p>
        </w:tc>
        <w:tc>
          <w:tcPr>
            <w:tcW w:w="3072" w:type="dxa"/>
            <w:tcBorders>
              <w:top w:val="nil"/>
              <w:left w:val="nil"/>
              <w:bottom w:val="single" w:sz="4" w:space="0" w:color="000001"/>
              <w:right w:val="single" w:sz="4" w:space="0" w:color="000001"/>
            </w:tcBorders>
            <w:shd w:val="clear" w:color="auto" w:fill="auto"/>
            <w:hideMark/>
          </w:tcPr>
          <w:p w14:paraId="0E7F4F0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Apertura de buzones de quejas </w:t>
            </w:r>
          </w:p>
        </w:tc>
        <w:tc>
          <w:tcPr>
            <w:tcW w:w="1661" w:type="dxa"/>
            <w:tcBorders>
              <w:top w:val="nil"/>
              <w:left w:val="nil"/>
              <w:bottom w:val="single" w:sz="4" w:space="0" w:color="000001"/>
              <w:right w:val="single" w:sz="4" w:space="0" w:color="000001"/>
            </w:tcBorders>
            <w:shd w:val="clear" w:color="auto" w:fill="auto"/>
            <w:hideMark/>
          </w:tcPr>
          <w:p w14:paraId="4507E50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Informes presentados </w:t>
            </w:r>
            <w:proofErr w:type="spellStart"/>
            <w:r w:rsidRPr="00FD0593">
              <w:rPr>
                <w:rFonts w:ascii="Arial" w:eastAsia="Times New Roman" w:hAnsi="Arial" w:cs="Arial"/>
                <w:color w:val="000001"/>
                <w:sz w:val="18"/>
                <w:szCs w:val="18"/>
                <w:lang w:eastAsia="es-SV"/>
              </w:rPr>
              <w:t>vrs</w:t>
            </w:r>
            <w:proofErr w:type="spellEnd"/>
            <w:r w:rsidRPr="00FD0593">
              <w:rPr>
                <w:rFonts w:ascii="Arial" w:eastAsia="Times New Roman" w:hAnsi="Arial" w:cs="Arial"/>
                <w:color w:val="000001"/>
                <w:sz w:val="18"/>
                <w:szCs w:val="18"/>
                <w:lang w:eastAsia="es-SV"/>
              </w:rPr>
              <w:t xml:space="preserve"> programadas </w:t>
            </w:r>
          </w:p>
        </w:tc>
        <w:tc>
          <w:tcPr>
            <w:tcW w:w="1048" w:type="dxa"/>
            <w:tcBorders>
              <w:top w:val="nil"/>
              <w:left w:val="nil"/>
              <w:bottom w:val="single" w:sz="4" w:space="0" w:color="000001"/>
              <w:right w:val="single" w:sz="4" w:space="0" w:color="000001"/>
            </w:tcBorders>
            <w:shd w:val="clear" w:color="auto" w:fill="auto"/>
            <w:hideMark/>
          </w:tcPr>
          <w:p w14:paraId="5AEB53A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nil"/>
              <w:left w:val="nil"/>
              <w:bottom w:val="single" w:sz="4" w:space="0" w:color="000001"/>
              <w:right w:val="single" w:sz="4" w:space="0" w:color="000001"/>
            </w:tcBorders>
            <w:shd w:val="clear" w:color="auto" w:fill="auto"/>
            <w:hideMark/>
          </w:tcPr>
          <w:p w14:paraId="10F51A6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T.S. Olivia Ester Bonilla </w:t>
            </w:r>
          </w:p>
        </w:tc>
        <w:tc>
          <w:tcPr>
            <w:tcW w:w="558" w:type="dxa"/>
            <w:tcBorders>
              <w:top w:val="nil"/>
              <w:left w:val="nil"/>
              <w:bottom w:val="single" w:sz="4" w:space="0" w:color="000001"/>
              <w:right w:val="single" w:sz="4" w:space="0" w:color="000001"/>
            </w:tcBorders>
            <w:shd w:val="clear" w:color="auto" w:fill="auto"/>
            <w:hideMark/>
          </w:tcPr>
          <w:p w14:paraId="2602374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3E10A86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2018E43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75F8BED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single" w:sz="4" w:space="0" w:color="000001"/>
              <w:right w:val="single" w:sz="4" w:space="0" w:color="000001"/>
            </w:tcBorders>
            <w:shd w:val="clear" w:color="auto" w:fill="auto"/>
            <w:hideMark/>
          </w:tcPr>
          <w:p w14:paraId="62BD3CC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10D18B0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51CEE16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auto" w:fill="auto"/>
            <w:hideMark/>
          </w:tcPr>
          <w:p w14:paraId="246C3B0D" w14:textId="73BBD8A3" w:rsidR="00FB7AFC"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Satisfactorio. Buzones vacíos. Se debe promocionar el uso de los mismos.</w:t>
            </w:r>
          </w:p>
          <w:p w14:paraId="0872E4F9" w14:textId="77777777" w:rsidR="00FB7AFC" w:rsidRDefault="00FB7AFC" w:rsidP="00526022">
            <w:pPr>
              <w:spacing w:after="0" w:line="240" w:lineRule="auto"/>
              <w:rPr>
                <w:rFonts w:ascii="Arial" w:eastAsia="Times New Roman" w:hAnsi="Arial" w:cs="Arial"/>
                <w:color w:val="000001"/>
                <w:sz w:val="18"/>
                <w:szCs w:val="18"/>
                <w:lang w:eastAsia="es-SV"/>
              </w:rPr>
            </w:pPr>
          </w:p>
          <w:p w14:paraId="08AB3605" w14:textId="6BC94BC2" w:rsidR="00FB7AFC" w:rsidRPr="00FD0593" w:rsidRDefault="00FB7AFC" w:rsidP="00526022">
            <w:pPr>
              <w:spacing w:after="0" w:line="240" w:lineRule="auto"/>
              <w:rPr>
                <w:rFonts w:ascii="Arial" w:eastAsia="Times New Roman" w:hAnsi="Arial" w:cs="Arial"/>
                <w:color w:val="000001"/>
                <w:sz w:val="18"/>
                <w:szCs w:val="18"/>
                <w:lang w:eastAsia="es-SV"/>
              </w:rPr>
            </w:pPr>
          </w:p>
        </w:tc>
      </w:tr>
      <w:tr w:rsidR="00FB7AFC" w:rsidRPr="00FD0593" w14:paraId="50B73370" w14:textId="77777777" w:rsidTr="00526022">
        <w:trPr>
          <w:gridAfter w:val="1"/>
          <w:wAfter w:w="6" w:type="dxa"/>
          <w:trHeight w:val="951"/>
        </w:trPr>
        <w:tc>
          <w:tcPr>
            <w:tcW w:w="591" w:type="dxa"/>
            <w:tcBorders>
              <w:top w:val="nil"/>
              <w:left w:val="single" w:sz="4" w:space="0" w:color="000000"/>
              <w:bottom w:val="single" w:sz="4" w:space="0" w:color="000001"/>
              <w:right w:val="single" w:sz="4" w:space="0" w:color="000001"/>
            </w:tcBorders>
            <w:shd w:val="clear" w:color="auto" w:fill="auto"/>
            <w:hideMark/>
          </w:tcPr>
          <w:p w14:paraId="6E411171" w14:textId="77777777" w:rsidR="00FB7AFC" w:rsidRPr="00FD0593" w:rsidRDefault="00FB7AFC" w:rsidP="00526022">
            <w:pPr>
              <w:spacing w:after="0" w:line="240" w:lineRule="auto"/>
              <w:rPr>
                <w:rFonts w:ascii="Arial" w:eastAsia="Times New Roman" w:hAnsi="Arial" w:cs="Arial"/>
                <w:color w:val="000001"/>
                <w:sz w:val="16"/>
                <w:szCs w:val="16"/>
                <w:lang w:eastAsia="es-SV"/>
              </w:rPr>
            </w:pPr>
            <w:r w:rsidRPr="00FD0593">
              <w:rPr>
                <w:rFonts w:ascii="Arial" w:eastAsia="Times New Roman" w:hAnsi="Arial" w:cs="Arial"/>
                <w:color w:val="000001"/>
                <w:sz w:val="16"/>
                <w:szCs w:val="16"/>
                <w:lang w:eastAsia="es-SV"/>
              </w:rPr>
              <w:t>3.1.2 </w:t>
            </w:r>
          </w:p>
        </w:tc>
        <w:tc>
          <w:tcPr>
            <w:tcW w:w="3072" w:type="dxa"/>
            <w:tcBorders>
              <w:top w:val="nil"/>
              <w:left w:val="nil"/>
              <w:bottom w:val="single" w:sz="4" w:space="0" w:color="000001"/>
              <w:right w:val="single" w:sz="4" w:space="0" w:color="000001"/>
            </w:tcBorders>
            <w:shd w:val="clear" w:color="auto" w:fill="auto"/>
            <w:hideMark/>
          </w:tcPr>
          <w:p w14:paraId="514700E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Realización de encuestas de satisfacción en los diferentes servicios  </w:t>
            </w:r>
          </w:p>
        </w:tc>
        <w:tc>
          <w:tcPr>
            <w:tcW w:w="1661" w:type="dxa"/>
            <w:tcBorders>
              <w:top w:val="nil"/>
              <w:left w:val="nil"/>
              <w:bottom w:val="single" w:sz="4" w:space="0" w:color="000001"/>
              <w:right w:val="single" w:sz="4" w:space="0" w:color="000001"/>
            </w:tcBorders>
            <w:shd w:val="clear" w:color="auto" w:fill="auto"/>
            <w:hideMark/>
          </w:tcPr>
          <w:p w14:paraId="2BFA8AA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Informes presentados </w:t>
            </w:r>
            <w:proofErr w:type="spellStart"/>
            <w:r w:rsidRPr="00FD0593">
              <w:rPr>
                <w:rFonts w:ascii="Arial" w:eastAsia="Times New Roman" w:hAnsi="Arial" w:cs="Arial"/>
                <w:color w:val="000001"/>
                <w:sz w:val="18"/>
                <w:szCs w:val="18"/>
                <w:lang w:eastAsia="es-SV"/>
              </w:rPr>
              <w:t>vrs</w:t>
            </w:r>
            <w:proofErr w:type="spellEnd"/>
            <w:r w:rsidRPr="00FD0593">
              <w:rPr>
                <w:rFonts w:ascii="Arial" w:eastAsia="Times New Roman" w:hAnsi="Arial" w:cs="Arial"/>
                <w:color w:val="000001"/>
                <w:sz w:val="18"/>
                <w:szCs w:val="18"/>
                <w:lang w:eastAsia="es-SV"/>
              </w:rPr>
              <w:t xml:space="preserve"> programadas </w:t>
            </w:r>
          </w:p>
        </w:tc>
        <w:tc>
          <w:tcPr>
            <w:tcW w:w="1048" w:type="dxa"/>
            <w:tcBorders>
              <w:top w:val="nil"/>
              <w:left w:val="nil"/>
              <w:bottom w:val="single" w:sz="4" w:space="0" w:color="000001"/>
              <w:right w:val="single" w:sz="4" w:space="0" w:color="000001"/>
            </w:tcBorders>
            <w:shd w:val="clear" w:color="auto" w:fill="auto"/>
            <w:hideMark/>
          </w:tcPr>
          <w:p w14:paraId="45A57E8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nil"/>
              <w:left w:val="nil"/>
              <w:bottom w:val="single" w:sz="4" w:space="0" w:color="000001"/>
              <w:right w:val="single" w:sz="4" w:space="0" w:color="000001"/>
            </w:tcBorders>
            <w:shd w:val="clear" w:color="auto" w:fill="auto"/>
            <w:hideMark/>
          </w:tcPr>
          <w:p w14:paraId="78F50AA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T.S. Olivia Ester Bonilla </w:t>
            </w:r>
          </w:p>
        </w:tc>
        <w:tc>
          <w:tcPr>
            <w:tcW w:w="558" w:type="dxa"/>
            <w:tcBorders>
              <w:top w:val="nil"/>
              <w:left w:val="nil"/>
              <w:bottom w:val="single" w:sz="4" w:space="0" w:color="000001"/>
              <w:right w:val="single" w:sz="4" w:space="0" w:color="000001"/>
            </w:tcBorders>
            <w:shd w:val="clear" w:color="auto" w:fill="auto"/>
            <w:hideMark/>
          </w:tcPr>
          <w:p w14:paraId="6BA6157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5D93231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70B5281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70D060F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single" w:sz="4" w:space="0" w:color="000001"/>
              <w:right w:val="single" w:sz="4" w:space="0" w:color="000001"/>
            </w:tcBorders>
            <w:shd w:val="clear" w:color="auto" w:fill="auto"/>
            <w:hideMark/>
          </w:tcPr>
          <w:p w14:paraId="052580F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0AD20A8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36E9D13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auto" w:fill="auto"/>
            <w:hideMark/>
          </w:tcPr>
          <w:p w14:paraId="147F1EB2" w14:textId="77777777" w:rsidR="00FB7AFC"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Satisfactorio. </w:t>
            </w:r>
            <w:r w:rsidRPr="00FD0593">
              <w:rPr>
                <w:rFonts w:ascii="Arial" w:eastAsia="Times New Roman" w:hAnsi="Arial" w:cs="Arial"/>
                <w:color w:val="000001"/>
                <w:sz w:val="18"/>
                <w:szCs w:val="18"/>
                <w:lang w:eastAsia="es-SV"/>
              </w:rPr>
              <w:br/>
              <w:t>Calificación de 97% de satisfacción según encuestas.</w:t>
            </w:r>
          </w:p>
          <w:p w14:paraId="430C7A28" w14:textId="578B4266" w:rsidR="00FB7AFC" w:rsidRPr="00FD0593" w:rsidRDefault="00FB7AFC" w:rsidP="00526022">
            <w:pPr>
              <w:spacing w:after="0" w:line="240" w:lineRule="auto"/>
              <w:rPr>
                <w:rFonts w:ascii="Arial" w:eastAsia="Times New Roman" w:hAnsi="Arial" w:cs="Arial"/>
                <w:color w:val="000001"/>
                <w:sz w:val="18"/>
                <w:szCs w:val="18"/>
                <w:lang w:eastAsia="es-SV"/>
              </w:rPr>
            </w:pPr>
          </w:p>
        </w:tc>
      </w:tr>
      <w:tr w:rsidR="00FB7AFC" w:rsidRPr="00FD0593" w14:paraId="215CD164" w14:textId="77777777" w:rsidTr="00526022">
        <w:trPr>
          <w:gridAfter w:val="1"/>
          <w:wAfter w:w="6" w:type="dxa"/>
          <w:trHeight w:val="713"/>
        </w:trPr>
        <w:tc>
          <w:tcPr>
            <w:tcW w:w="591" w:type="dxa"/>
            <w:tcBorders>
              <w:top w:val="nil"/>
              <w:left w:val="single" w:sz="4" w:space="0" w:color="000000"/>
              <w:bottom w:val="single" w:sz="4" w:space="0" w:color="000001"/>
              <w:right w:val="single" w:sz="4" w:space="0" w:color="000001"/>
            </w:tcBorders>
            <w:shd w:val="clear" w:color="auto" w:fill="auto"/>
            <w:hideMark/>
          </w:tcPr>
          <w:p w14:paraId="1F3D208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3.1.3 </w:t>
            </w:r>
          </w:p>
        </w:tc>
        <w:tc>
          <w:tcPr>
            <w:tcW w:w="3072" w:type="dxa"/>
            <w:tcBorders>
              <w:top w:val="nil"/>
              <w:left w:val="nil"/>
              <w:bottom w:val="single" w:sz="4" w:space="0" w:color="000001"/>
              <w:right w:val="single" w:sz="4" w:space="0" w:color="000001"/>
            </w:tcBorders>
            <w:shd w:val="clear" w:color="auto" w:fill="auto"/>
            <w:hideMark/>
          </w:tcPr>
          <w:p w14:paraId="0716013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Recepción de quejas y felicitaciones </w:t>
            </w:r>
          </w:p>
        </w:tc>
        <w:tc>
          <w:tcPr>
            <w:tcW w:w="1661" w:type="dxa"/>
            <w:tcBorders>
              <w:top w:val="nil"/>
              <w:left w:val="nil"/>
              <w:bottom w:val="single" w:sz="4" w:space="0" w:color="000001"/>
              <w:right w:val="single" w:sz="4" w:space="0" w:color="000001"/>
            </w:tcBorders>
            <w:shd w:val="clear" w:color="auto" w:fill="auto"/>
            <w:hideMark/>
          </w:tcPr>
          <w:p w14:paraId="723A2FF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Informes presentados </w:t>
            </w:r>
            <w:proofErr w:type="spellStart"/>
            <w:r w:rsidRPr="00FD0593">
              <w:rPr>
                <w:rFonts w:ascii="Arial" w:eastAsia="Times New Roman" w:hAnsi="Arial" w:cs="Arial"/>
                <w:color w:val="000001"/>
                <w:sz w:val="18"/>
                <w:szCs w:val="18"/>
                <w:lang w:eastAsia="es-SV"/>
              </w:rPr>
              <w:t>vrs</w:t>
            </w:r>
            <w:proofErr w:type="spellEnd"/>
            <w:r w:rsidRPr="00FD0593">
              <w:rPr>
                <w:rFonts w:ascii="Arial" w:eastAsia="Times New Roman" w:hAnsi="Arial" w:cs="Arial"/>
                <w:color w:val="000001"/>
                <w:sz w:val="18"/>
                <w:szCs w:val="18"/>
                <w:lang w:eastAsia="es-SV"/>
              </w:rPr>
              <w:t xml:space="preserve"> programadas </w:t>
            </w:r>
          </w:p>
        </w:tc>
        <w:tc>
          <w:tcPr>
            <w:tcW w:w="1048" w:type="dxa"/>
            <w:tcBorders>
              <w:top w:val="nil"/>
              <w:left w:val="nil"/>
              <w:bottom w:val="single" w:sz="4" w:space="0" w:color="000001"/>
              <w:right w:val="single" w:sz="4" w:space="0" w:color="000001"/>
            </w:tcBorders>
            <w:shd w:val="clear" w:color="auto" w:fill="auto"/>
            <w:hideMark/>
          </w:tcPr>
          <w:p w14:paraId="3D4FEAE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nil"/>
              <w:left w:val="nil"/>
              <w:bottom w:val="single" w:sz="4" w:space="0" w:color="000001"/>
              <w:right w:val="single" w:sz="4" w:space="0" w:color="000001"/>
            </w:tcBorders>
            <w:shd w:val="clear" w:color="auto" w:fill="auto"/>
            <w:hideMark/>
          </w:tcPr>
          <w:p w14:paraId="3DF392A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T.S. Olivia Ester Bonilla </w:t>
            </w:r>
          </w:p>
        </w:tc>
        <w:tc>
          <w:tcPr>
            <w:tcW w:w="558" w:type="dxa"/>
            <w:tcBorders>
              <w:top w:val="nil"/>
              <w:left w:val="nil"/>
              <w:bottom w:val="single" w:sz="4" w:space="0" w:color="000001"/>
              <w:right w:val="single" w:sz="4" w:space="0" w:color="000001"/>
            </w:tcBorders>
            <w:shd w:val="clear" w:color="auto" w:fill="auto"/>
            <w:hideMark/>
          </w:tcPr>
          <w:p w14:paraId="444D2E3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single" w:sz="4" w:space="0" w:color="000001"/>
              <w:right w:val="single" w:sz="4" w:space="0" w:color="000001"/>
            </w:tcBorders>
            <w:shd w:val="clear" w:color="auto" w:fill="auto"/>
            <w:hideMark/>
          </w:tcPr>
          <w:p w14:paraId="5FF2B3E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7CEC2FB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0BEF129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single" w:sz="4" w:space="0" w:color="000001"/>
              <w:right w:val="single" w:sz="4" w:space="0" w:color="000001"/>
            </w:tcBorders>
            <w:shd w:val="clear" w:color="auto" w:fill="auto"/>
            <w:hideMark/>
          </w:tcPr>
          <w:p w14:paraId="6DA8EA9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single" w:sz="4" w:space="0" w:color="000001"/>
              <w:right w:val="single" w:sz="4" w:space="0" w:color="000001"/>
            </w:tcBorders>
            <w:shd w:val="clear" w:color="auto" w:fill="auto"/>
            <w:hideMark/>
          </w:tcPr>
          <w:p w14:paraId="043D9F5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single" w:sz="4" w:space="0" w:color="000001"/>
              <w:right w:val="single" w:sz="4" w:space="0" w:color="000001"/>
            </w:tcBorders>
            <w:shd w:val="clear" w:color="auto" w:fill="auto"/>
            <w:hideMark/>
          </w:tcPr>
          <w:p w14:paraId="4B16B4D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single" w:sz="4" w:space="0" w:color="000001"/>
              <w:right w:val="single" w:sz="4" w:space="0" w:color="000000"/>
            </w:tcBorders>
            <w:shd w:val="clear" w:color="auto" w:fill="auto"/>
            <w:hideMark/>
          </w:tcPr>
          <w:p w14:paraId="41241C4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Satisfactorio. NO hay quejas ni felicitaciones</w:t>
            </w:r>
          </w:p>
        </w:tc>
      </w:tr>
      <w:tr w:rsidR="00FB7AFC" w:rsidRPr="00FD0593" w14:paraId="63BDF294"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FFFF00"/>
            <w:hideMark/>
          </w:tcPr>
          <w:p w14:paraId="00D9B2C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3 </w:t>
            </w:r>
          </w:p>
        </w:tc>
        <w:tc>
          <w:tcPr>
            <w:tcW w:w="13371" w:type="dxa"/>
            <w:gridSpan w:val="13"/>
            <w:tcBorders>
              <w:top w:val="single" w:sz="4" w:space="0" w:color="000001"/>
              <w:left w:val="nil"/>
              <w:bottom w:val="single" w:sz="4" w:space="0" w:color="000001"/>
              <w:right w:val="single" w:sz="4" w:space="0" w:color="000000"/>
            </w:tcBorders>
            <w:shd w:val="clear" w:color="auto" w:fill="FFFF00"/>
            <w:hideMark/>
          </w:tcPr>
          <w:p w14:paraId="3AAB969E" w14:textId="77777777" w:rsidR="00FB7AFC" w:rsidRPr="00FD0593" w:rsidRDefault="00FB7AFC" w:rsidP="00526022">
            <w:pPr>
              <w:spacing w:after="0" w:line="240" w:lineRule="auto"/>
              <w:rPr>
                <w:rFonts w:ascii="Arial" w:eastAsia="Times New Roman" w:hAnsi="Arial" w:cs="Arial"/>
                <w:b/>
                <w:bCs/>
                <w:color w:val="000001"/>
                <w:sz w:val="18"/>
                <w:szCs w:val="18"/>
                <w:lang w:eastAsia="es-SV"/>
              </w:rPr>
            </w:pPr>
            <w:r w:rsidRPr="00FD0593">
              <w:rPr>
                <w:rFonts w:ascii="Arial" w:eastAsia="Times New Roman" w:hAnsi="Arial" w:cs="Arial"/>
                <w:b/>
                <w:bCs/>
                <w:color w:val="000001"/>
                <w:sz w:val="18"/>
                <w:szCs w:val="18"/>
                <w:lang w:eastAsia="es-SV"/>
              </w:rPr>
              <w:t>Objetivo: OE 7. Vigilancia y control de la COVID-19</w:t>
            </w:r>
            <w:r w:rsidRPr="00FD0593">
              <w:rPr>
                <w:rFonts w:ascii="Arial" w:eastAsia="Times New Roman" w:hAnsi="Arial" w:cs="Arial"/>
                <w:color w:val="000001"/>
                <w:sz w:val="18"/>
                <w:szCs w:val="18"/>
                <w:lang w:eastAsia="es-SV"/>
              </w:rPr>
              <w:t> </w:t>
            </w:r>
          </w:p>
        </w:tc>
      </w:tr>
      <w:tr w:rsidR="00FB7AFC" w:rsidRPr="00FD0593" w14:paraId="1D1D4494" w14:textId="77777777" w:rsidTr="00526022">
        <w:trPr>
          <w:trHeight w:val="297"/>
        </w:trPr>
        <w:tc>
          <w:tcPr>
            <w:tcW w:w="591" w:type="dxa"/>
            <w:tcBorders>
              <w:top w:val="nil"/>
              <w:left w:val="single" w:sz="4" w:space="0" w:color="000000"/>
              <w:bottom w:val="single" w:sz="4" w:space="0" w:color="000001"/>
              <w:right w:val="single" w:sz="4" w:space="0" w:color="000001"/>
            </w:tcBorders>
            <w:shd w:val="clear" w:color="auto" w:fill="auto"/>
            <w:hideMark/>
          </w:tcPr>
          <w:p w14:paraId="09101280"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Pr>
                <w:rFonts w:ascii="Arial" w:eastAsia="Times New Roman" w:hAnsi="Arial" w:cs="Arial"/>
                <w:color w:val="000001"/>
                <w:sz w:val="18"/>
                <w:szCs w:val="18"/>
                <w:lang w:eastAsia="es-SV"/>
              </w:rPr>
              <w:t>4</w:t>
            </w:r>
            <w:r w:rsidRPr="00FD0593">
              <w:rPr>
                <w:rFonts w:ascii="Arial" w:eastAsia="Times New Roman" w:hAnsi="Arial" w:cs="Arial"/>
                <w:color w:val="000001"/>
                <w:sz w:val="18"/>
                <w:szCs w:val="18"/>
                <w:lang w:eastAsia="es-SV"/>
              </w:rPr>
              <w:t>.1 </w:t>
            </w:r>
          </w:p>
        </w:tc>
        <w:tc>
          <w:tcPr>
            <w:tcW w:w="13371" w:type="dxa"/>
            <w:gridSpan w:val="13"/>
            <w:tcBorders>
              <w:top w:val="single" w:sz="4" w:space="0" w:color="000001"/>
              <w:left w:val="nil"/>
              <w:bottom w:val="single" w:sz="4" w:space="0" w:color="000001"/>
              <w:right w:val="single" w:sz="4" w:space="0" w:color="000000"/>
            </w:tcBorders>
            <w:shd w:val="clear" w:color="auto" w:fill="auto"/>
            <w:hideMark/>
          </w:tcPr>
          <w:p w14:paraId="48A2803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Resultado esperado: vigilancia sanitaria de la enfermedad del covid19 </w:t>
            </w:r>
          </w:p>
        </w:tc>
      </w:tr>
      <w:tr w:rsidR="00FB7AFC" w:rsidRPr="00FD0593" w14:paraId="5099FC20" w14:textId="77777777" w:rsidTr="00526022">
        <w:trPr>
          <w:gridAfter w:val="1"/>
          <w:wAfter w:w="6" w:type="dxa"/>
          <w:trHeight w:val="951"/>
        </w:trPr>
        <w:tc>
          <w:tcPr>
            <w:tcW w:w="591" w:type="dxa"/>
            <w:tcBorders>
              <w:top w:val="nil"/>
              <w:left w:val="single" w:sz="4" w:space="0" w:color="000000"/>
              <w:bottom w:val="nil"/>
              <w:right w:val="single" w:sz="4" w:space="0" w:color="000001"/>
            </w:tcBorders>
            <w:shd w:val="clear" w:color="auto" w:fill="auto"/>
            <w:hideMark/>
          </w:tcPr>
          <w:p w14:paraId="06DC94A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Pr>
                <w:rFonts w:ascii="Arial" w:eastAsia="Times New Roman" w:hAnsi="Arial" w:cs="Arial"/>
                <w:color w:val="000001"/>
                <w:sz w:val="18"/>
                <w:szCs w:val="18"/>
                <w:lang w:eastAsia="es-SV"/>
              </w:rPr>
              <w:t>4</w:t>
            </w:r>
            <w:r w:rsidRPr="00FD0593">
              <w:rPr>
                <w:rFonts w:ascii="Arial" w:eastAsia="Times New Roman" w:hAnsi="Arial" w:cs="Arial"/>
                <w:color w:val="000001"/>
                <w:sz w:val="18"/>
                <w:szCs w:val="18"/>
                <w:lang w:eastAsia="es-SV"/>
              </w:rPr>
              <w:t>.1.1 </w:t>
            </w:r>
          </w:p>
        </w:tc>
        <w:tc>
          <w:tcPr>
            <w:tcW w:w="3072" w:type="dxa"/>
            <w:tcBorders>
              <w:top w:val="nil"/>
              <w:left w:val="nil"/>
              <w:bottom w:val="nil"/>
              <w:right w:val="single" w:sz="4" w:space="0" w:color="000001"/>
            </w:tcBorders>
            <w:shd w:val="clear" w:color="auto" w:fill="auto"/>
            <w:hideMark/>
          </w:tcPr>
          <w:p w14:paraId="573F3E3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Cirugías suspendidas por COVID </w:t>
            </w:r>
          </w:p>
        </w:tc>
        <w:tc>
          <w:tcPr>
            <w:tcW w:w="1661" w:type="dxa"/>
            <w:tcBorders>
              <w:top w:val="nil"/>
              <w:left w:val="nil"/>
              <w:bottom w:val="nil"/>
              <w:right w:val="single" w:sz="4" w:space="0" w:color="000001"/>
            </w:tcBorders>
            <w:shd w:val="clear" w:color="auto" w:fill="auto"/>
            <w:hideMark/>
          </w:tcPr>
          <w:p w14:paraId="3043316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Cirugías suspendidas / Cirugías Programadas </w:t>
            </w:r>
          </w:p>
        </w:tc>
        <w:tc>
          <w:tcPr>
            <w:tcW w:w="1048" w:type="dxa"/>
            <w:tcBorders>
              <w:top w:val="nil"/>
              <w:left w:val="nil"/>
              <w:bottom w:val="nil"/>
              <w:right w:val="single" w:sz="4" w:space="0" w:color="000001"/>
            </w:tcBorders>
            <w:shd w:val="clear" w:color="auto" w:fill="auto"/>
            <w:hideMark/>
          </w:tcPr>
          <w:p w14:paraId="1CCC143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nil"/>
              <w:left w:val="nil"/>
              <w:bottom w:val="nil"/>
              <w:right w:val="single" w:sz="4" w:space="0" w:color="000001"/>
            </w:tcBorders>
            <w:shd w:val="clear" w:color="auto" w:fill="auto"/>
            <w:noWrap/>
            <w:hideMark/>
          </w:tcPr>
          <w:p w14:paraId="5C2F5D5D"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Dr. Mauricio Ríos </w:t>
            </w:r>
          </w:p>
        </w:tc>
        <w:tc>
          <w:tcPr>
            <w:tcW w:w="558" w:type="dxa"/>
            <w:tcBorders>
              <w:top w:val="nil"/>
              <w:left w:val="nil"/>
              <w:bottom w:val="nil"/>
              <w:right w:val="single" w:sz="4" w:space="0" w:color="000001"/>
            </w:tcBorders>
            <w:shd w:val="clear" w:color="auto" w:fill="auto"/>
            <w:hideMark/>
          </w:tcPr>
          <w:p w14:paraId="201D902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nil"/>
              <w:left w:val="nil"/>
              <w:bottom w:val="nil"/>
              <w:right w:val="single" w:sz="4" w:space="0" w:color="000001"/>
            </w:tcBorders>
            <w:shd w:val="clear" w:color="auto" w:fill="auto"/>
            <w:hideMark/>
          </w:tcPr>
          <w:p w14:paraId="292FFA1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nil"/>
              <w:right w:val="single" w:sz="4" w:space="0" w:color="000001"/>
            </w:tcBorders>
            <w:shd w:val="clear" w:color="auto" w:fill="auto"/>
            <w:hideMark/>
          </w:tcPr>
          <w:p w14:paraId="3099261C"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nil"/>
              <w:right w:val="single" w:sz="4" w:space="0" w:color="000001"/>
            </w:tcBorders>
            <w:shd w:val="clear" w:color="auto" w:fill="auto"/>
            <w:hideMark/>
          </w:tcPr>
          <w:p w14:paraId="7E57C208"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537" w:type="dxa"/>
            <w:tcBorders>
              <w:top w:val="nil"/>
              <w:left w:val="nil"/>
              <w:bottom w:val="nil"/>
              <w:right w:val="single" w:sz="4" w:space="0" w:color="000001"/>
            </w:tcBorders>
            <w:shd w:val="clear" w:color="auto" w:fill="auto"/>
            <w:hideMark/>
          </w:tcPr>
          <w:p w14:paraId="07BBA02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nil"/>
              <w:left w:val="nil"/>
              <w:bottom w:val="nil"/>
              <w:right w:val="single" w:sz="4" w:space="0" w:color="000001"/>
            </w:tcBorders>
            <w:shd w:val="clear" w:color="auto" w:fill="auto"/>
            <w:hideMark/>
          </w:tcPr>
          <w:p w14:paraId="43FB935E"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nil"/>
              <w:left w:val="nil"/>
              <w:bottom w:val="nil"/>
              <w:right w:val="single" w:sz="4" w:space="0" w:color="000001"/>
            </w:tcBorders>
            <w:shd w:val="clear" w:color="auto" w:fill="auto"/>
            <w:hideMark/>
          </w:tcPr>
          <w:p w14:paraId="2551548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100</w:t>
            </w:r>
          </w:p>
        </w:tc>
        <w:tc>
          <w:tcPr>
            <w:tcW w:w="2051" w:type="dxa"/>
            <w:tcBorders>
              <w:top w:val="nil"/>
              <w:left w:val="nil"/>
              <w:bottom w:val="nil"/>
              <w:right w:val="single" w:sz="4" w:space="0" w:color="000000"/>
            </w:tcBorders>
            <w:shd w:val="clear" w:color="auto" w:fill="auto"/>
            <w:hideMark/>
          </w:tcPr>
          <w:p w14:paraId="687EDCD8" w14:textId="77777777" w:rsidR="00FB7AFC"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Satisfactorio. Solo una cirugía fue suspendida y reprogramada. fue realizada 30 días después. </w:t>
            </w:r>
          </w:p>
          <w:p w14:paraId="3C241DDA" w14:textId="65EB3E02" w:rsidR="00FB7AFC" w:rsidRPr="00FD0593" w:rsidRDefault="00FB7AFC" w:rsidP="00526022">
            <w:pPr>
              <w:spacing w:after="0" w:line="240" w:lineRule="auto"/>
              <w:rPr>
                <w:rFonts w:ascii="Arial" w:eastAsia="Times New Roman" w:hAnsi="Arial" w:cs="Arial"/>
                <w:color w:val="000001"/>
                <w:sz w:val="18"/>
                <w:szCs w:val="18"/>
                <w:lang w:eastAsia="es-SV"/>
              </w:rPr>
            </w:pPr>
          </w:p>
        </w:tc>
      </w:tr>
      <w:tr w:rsidR="00FB7AFC" w:rsidRPr="00FD0593" w14:paraId="2CAB0062" w14:textId="77777777" w:rsidTr="00526022">
        <w:trPr>
          <w:gridAfter w:val="1"/>
          <w:wAfter w:w="6" w:type="dxa"/>
          <w:trHeight w:val="1427"/>
        </w:trPr>
        <w:tc>
          <w:tcPr>
            <w:tcW w:w="591" w:type="dxa"/>
            <w:tcBorders>
              <w:top w:val="single" w:sz="4" w:space="0" w:color="000001"/>
              <w:left w:val="single" w:sz="4" w:space="0" w:color="000000"/>
              <w:bottom w:val="single" w:sz="4" w:space="0" w:color="000000"/>
              <w:right w:val="single" w:sz="4" w:space="0" w:color="000001"/>
            </w:tcBorders>
            <w:shd w:val="clear" w:color="auto" w:fill="auto"/>
            <w:hideMark/>
          </w:tcPr>
          <w:p w14:paraId="3E6A3FDA"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Pr>
                <w:rFonts w:ascii="Arial" w:eastAsia="Times New Roman" w:hAnsi="Arial" w:cs="Arial"/>
                <w:color w:val="000001"/>
                <w:sz w:val="18"/>
                <w:szCs w:val="18"/>
                <w:lang w:eastAsia="es-SV"/>
              </w:rPr>
              <w:t>4</w:t>
            </w:r>
            <w:r w:rsidRPr="00FD0593">
              <w:rPr>
                <w:rFonts w:ascii="Arial" w:eastAsia="Times New Roman" w:hAnsi="Arial" w:cs="Arial"/>
                <w:color w:val="000001"/>
                <w:sz w:val="18"/>
                <w:szCs w:val="18"/>
                <w:lang w:eastAsia="es-SV"/>
              </w:rPr>
              <w:t>.1.2 </w:t>
            </w:r>
          </w:p>
        </w:tc>
        <w:tc>
          <w:tcPr>
            <w:tcW w:w="3072" w:type="dxa"/>
            <w:tcBorders>
              <w:top w:val="single" w:sz="4" w:space="0" w:color="000001"/>
              <w:left w:val="nil"/>
              <w:bottom w:val="single" w:sz="4" w:space="0" w:color="000000"/>
              <w:right w:val="single" w:sz="4" w:space="0" w:color="000001"/>
            </w:tcBorders>
            <w:shd w:val="clear" w:color="auto" w:fill="auto"/>
            <w:hideMark/>
          </w:tcPr>
          <w:p w14:paraId="0D205B1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Evaluación de Tamizaje Covid19 a personal </w:t>
            </w:r>
          </w:p>
        </w:tc>
        <w:tc>
          <w:tcPr>
            <w:tcW w:w="1661" w:type="dxa"/>
            <w:tcBorders>
              <w:top w:val="single" w:sz="4" w:space="0" w:color="000001"/>
              <w:left w:val="nil"/>
              <w:bottom w:val="single" w:sz="4" w:space="0" w:color="000000"/>
              <w:right w:val="single" w:sz="4" w:space="0" w:color="000001"/>
            </w:tcBorders>
            <w:shd w:val="clear" w:color="auto" w:fill="auto"/>
            <w:hideMark/>
          </w:tcPr>
          <w:p w14:paraId="2D52A951"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Personal de salud positivo a COVID / Total de personal tamizado </w:t>
            </w:r>
          </w:p>
        </w:tc>
        <w:tc>
          <w:tcPr>
            <w:tcW w:w="1048" w:type="dxa"/>
            <w:tcBorders>
              <w:top w:val="single" w:sz="4" w:space="0" w:color="000001"/>
              <w:left w:val="nil"/>
              <w:bottom w:val="single" w:sz="4" w:space="0" w:color="000000"/>
              <w:right w:val="single" w:sz="4" w:space="0" w:color="000001"/>
            </w:tcBorders>
            <w:shd w:val="clear" w:color="auto" w:fill="auto"/>
            <w:hideMark/>
          </w:tcPr>
          <w:p w14:paraId="573651DB"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Informe </w:t>
            </w:r>
          </w:p>
        </w:tc>
        <w:tc>
          <w:tcPr>
            <w:tcW w:w="1773" w:type="dxa"/>
            <w:tcBorders>
              <w:top w:val="single" w:sz="4" w:space="0" w:color="000001"/>
              <w:left w:val="nil"/>
              <w:bottom w:val="single" w:sz="4" w:space="0" w:color="000000"/>
              <w:right w:val="single" w:sz="4" w:space="0" w:color="000001"/>
            </w:tcBorders>
            <w:shd w:val="clear" w:color="auto" w:fill="auto"/>
            <w:hideMark/>
          </w:tcPr>
          <w:p w14:paraId="59EF18B2"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Dr. Oswaldo A Cruz. Epidemiólogo </w:t>
            </w:r>
          </w:p>
        </w:tc>
        <w:tc>
          <w:tcPr>
            <w:tcW w:w="558" w:type="dxa"/>
            <w:tcBorders>
              <w:top w:val="single" w:sz="4" w:space="0" w:color="000001"/>
              <w:left w:val="nil"/>
              <w:bottom w:val="single" w:sz="4" w:space="0" w:color="000000"/>
              <w:right w:val="single" w:sz="4" w:space="0" w:color="000001"/>
            </w:tcBorders>
            <w:shd w:val="clear" w:color="auto" w:fill="auto"/>
            <w:hideMark/>
          </w:tcPr>
          <w:p w14:paraId="44935236"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4 </w:t>
            </w:r>
          </w:p>
        </w:tc>
        <w:tc>
          <w:tcPr>
            <w:tcW w:w="537" w:type="dxa"/>
            <w:tcBorders>
              <w:top w:val="single" w:sz="4" w:space="0" w:color="000001"/>
              <w:left w:val="nil"/>
              <w:bottom w:val="single" w:sz="4" w:space="0" w:color="000000"/>
              <w:right w:val="single" w:sz="4" w:space="0" w:color="000001"/>
            </w:tcBorders>
            <w:shd w:val="clear" w:color="auto" w:fill="auto"/>
            <w:hideMark/>
          </w:tcPr>
          <w:p w14:paraId="62C5AA85"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single" w:sz="4" w:space="0" w:color="000001"/>
              <w:left w:val="nil"/>
              <w:bottom w:val="single" w:sz="4" w:space="0" w:color="000000"/>
              <w:right w:val="single" w:sz="4" w:space="0" w:color="000001"/>
            </w:tcBorders>
            <w:shd w:val="clear" w:color="auto" w:fill="auto"/>
            <w:hideMark/>
          </w:tcPr>
          <w:p w14:paraId="542BA66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w:t>
            </w:r>
          </w:p>
        </w:tc>
        <w:tc>
          <w:tcPr>
            <w:tcW w:w="441" w:type="dxa"/>
            <w:tcBorders>
              <w:top w:val="single" w:sz="4" w:space="0" w:color="000001"/>
              <w:left w:val="nil"/>
              <w:bottom w:val="single" w:sz="4" w:space="0" w:color="000000"/>
              <w:right w:val="single" w:sz="4" w:space="0" w:color="000001"/>
            </w:tcBorders>
            <w:shd w:val="clear" w:color="auto" w:fill="auto"/>
            <w:hideMark/>
          </w:tcPr>
          <w:p w14:paraId="299BA17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w:t>
            </w:r>
          </w:p>
        </w:tc>
        <w:tc>
          <w:tcPr>
            <w:tcW w:w="537" w:type="dxa"/>
            <w:tcBorders>
              <w:top w:val="single" w:sz="4" w:space="0" w:color="000001"/>
              <w:left w:val="nil"/>
              <w:bottom w:val="single" w:sz="4" w:space="0" w:color="000000"/>
              <w:right w:val="single" w:sz="4" w:space="0" w:color="000001"/>
            </w:tcBorders>
            <w:shd w:val="clear" w:color="auto" w:fill="auto"/>
            <w:hideMark/>
          </w:tcPr>
          <w:p w14:paraId="528D7F0F"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1 </w:t>
            </w:r>
          </w:p>
        </w:tc>
        <w:tc>
          <w:tcPr>
            <w:tcW w:w="623" w:type="dxa"/>
            <w:tcBorders>
              <w:top w:val="single" w:sz="4" w:space="0" w:color="000001"/>
              <w:left w:val="nil"/>
              <w:bottom w:val="single" w:sz="4" w:space="0" w:color="000000"/>
              <w:right w:val="single" w:sz="4" w:space="0" w:color="000001"/>
            </w:tcBorders>
            <w:shd w:val="clear" w:color="auto" w:fill="auto"/>
            <w:hideMark/>
          </w:tcPr>
          <w:p w14:paraId="19504AD4"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1</w:t>
            </w:r>
          </w:p>
        </w:tc>
        <w:tc>
          <w:tcPr>
            <w:tcW w:w="441" w:type="dxa"/>
            <w:tcBorders>
              <w:top w:val="single" w:sz="4" w:space="0" w:color="000001"/>
              <w:left w:val="nil"/>
              <w:bottom w:val="single" w:sz="4" w:space="0" w:color="000000"/>
              <w:right w:val="single" w:sz="4" w:space="0" w:color="000001"/>
            </w:tcBorders>
            <w:shd w:val="clear" w:color="auto" w:fill="auto"/>
            <w:hideMark/>
          </w:tcPr>
          <w:p w14:paraId="38535B77"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w:t>
            </w:r>
          </w:p>
        </w:tc>
        <w:tc>
          <w:tcPr>
            <w:tcW w:w="2051" w:type="dxa"/>
            <w:tcBorders>
              <w:top w:val="single" w:sz="4" w:space="0" w:color="000001"/>
              <w:left w:val="nil"/>
              <w:bottom w:val="single" w:sz="4" w:space="0" w:color="000000"/>
              <w:right w:val="single" w:sz="4" w:space="0" w:color="000000"/>
            </w:tcBorders>
            <w:shd w:val="clear" w:color="auto" w:fill="auto"/>
            <w:hideMark/>
          </w:tcPr>
          <w:p w14:paraId="70E8C3C3" w14:textId="77777777" w:rsidR="00FB7AFC" w:rsidRPr="00FD0593" w:rsidRDefault="00FB7AFC" w:rsidP="00526022">
            <w:pPr>
              <w:spacing w:after="0" w:line="240" w:lineRule="auto"/>
              <w:rPr>
                <w:rFonts w:ascii="Arial" w:eastAsia="Times New Roman" w:hAnsi="Arial" w:cs="Arial"/>
                <w:color w:val="000001"/>
                <w:sz w:val="18"/>
                <w:szCs w:val="18"/>
                <w:lang w:eastAsia="es-SV"/>
              </w:rPr>
            </w:pPr>
            <w:r w:rsidRPr="00FD0593">
              <w:rPr>
                <w:rFonts w:ascii="Arial" w:eastAsia="Times New Roman" w:hAnsi="Arial" w:cs="Arial"/>
                <w:color w:val="000001"/>
                <w:sz w:val="18"/>
                <w:szCs w:val="18"/>
                <w:lang w:eastAsia="es-SV"/>
              </w:rPr>
              <w:t xml:space="preserve">Satisfactorio, se han realizado 237 pruebas, el mayor número de personal que se ha tamizado por presentar síntomas es el área de Enfermería con 89 </w:t>
            </w:r>
            <w:r w:rsidRPr="00FD0593">
              <w:rPr>
                <w:rFonts w:ascii="Arial" w:eastAsia="Times New Roman" w:hAnsi="Arial" w:cs="Arial"/>
                <w:color w:val="000001"/>
                <w:sz w:val="18"/>
                <w:szCs w:val="18"/>
                <w:lang w:eastAsia="es-SV"/>
              </w:rPr>
              <w:lastRenderedPageBreak/>
              <w:t>pruebas, de ellas 31 enfermeras salieron positivas (35% de positividad), el personal médico 20 pruebas y 9 salieron positivos (45% de positividad). En general la positividad hospitalaria para el semestre fue de 29 %</w:t>
            </w:r>
          </w:p>
        </w:tc>
      </w:tr>
    </w:tbl>
    <w:p w14:paraId="23A009D8" w14:textId="4DA6567F" w:rsidR="00FB7AFC" w:rsidRDefault="00FB7AFC"/>
    <w:p w14:paraId="1F309C28" w14:textId="77777777" w:rsidR="00FB7AFC" w:rsidRPr="00EA7D32" w:rsidRDefault="00FB7AFC" w:rsidP="00FB7AFC">
      <w:pPr>
        <w:spacing w:after="0"/>
        <w:jc w:val="center"/>
        <w:rPr>
          <w:rFonts w:ascii="Times New Roman" w:eastAsia="Times New Roman" w:hAnsi="Times New Roman" w:cs="Times New Roman"/>
          <w:sz w:val="24"/>
          <w:szCs w:val="24"/>
        </w:rPr>
      </w:pPr>
      <w:r w:rsidRPr="00EA7D32">
        <w:rPr>
          <w:rFonts w:ascii="Arial" w:eastAsia="Times New Roman" w:hAnsi="Arial" w:cs="Arial"/>
          <w:b/>
          <w:bCs/>
          <w:color w:val="000000"/>
          <w:sz w:val="24"/>
          <w:szCs w:val="24"/>
        </w:rPr>
        <w:t>ANÁLISIS DE LA EVALUACIÓN ANUAL DE POA INSTITUCIONAL 202</w:t>
      </w:r>
      <w:r>
        <w:rPr>
          <w:rFonts w:ascii="Arial" w:eastAsia="Times New Roman" w:hAnsi="Arial" w:cs="Arial"/>
          <w:b/>
          <w:bCs/>
          <w:color w:val="000000"/>
          <w:sz w:val="24"/>
          <w:szCs w:val="24"/>
        </w:rPr>
        <w:t>2</w:t>
      </w:r>
    </w:p>
    <w:p w14:paraId="26E36979" w14:textId="77777777" w:rsidR="00FB7AFC" w:rsidRPr="00EA7D32" w:rsidRDefault="00FB7AFC" w:rsidP="00FB7AFC">
      <w:pPr>
        <w:spacing w:after="0"/>
        <w:rPr>
          <w:rFonts w:ascii="Times New Roman" w:eastAsia="Times New Roman" w:hAnsi="Times New Roman" w:cs="Times New Roman"/>
          <w:sz w:val="24"/>
          <w:szCs w:val="24"/>
        </w:rPr>
      </w:pPr>
    </w:p>
    <w:p w14:paraId="7D52109C" w14:textId="77777777" w:rsidR="00FB7AFC" w:rsidRPr="00EA7D32" w:rsidRDefault="00FB7AFC" w:rsidP="00FB7AFC">
      <w:pPr>
        <w:spacing w:after="0"/>
        <w:jc w:val="both"/>
        <w:rPr>
          <w:rFonts w:eastAsia="Times New Roman"/>
          <w:sz w:val="24"/>
          <w:szCs w:val="24"/>
        </w:rPr>
      </w:pPr>
      <w:r w:rsidRPr="00EA7D32">
        <w:rPr>
          <w:rFonts w:eastAsia="Times New Roman"/>
          <w:b/>
          <w:bCs/>
          <w:color w:val="000000"/>
          <w:sz w:val="24"/>
          <w:szCs w:val="24"/>
        </w:rPr>
        <w:t>Objetivo:  </w:t>
      </w:r>
    </w:p>
    <w:p w14:paraId="50541FB7" w14:textId="77777777" w:rsidR="00FB7AFC" w:rsidRPr="00EA7D32" w:rsidRDefault="00FB7AFC" w:rsidP="00FB7AFC">
      <w:pPr>
        <w:spacing w:after="0"/>
        <w:jc w:val="both"/>
        <w:rPr>
          <w:rFonts w:eastAsia="Times New Roman"/>
          <w:sz w:val="24"/>
          <w:szCs w:val="24"/>
        </w:rPr>
      </w:pPr>
      <w:r w:rsidRPr="00EA7D32">
        <w:rPr>
          <w:rFonts w:eastAsia="Times New Roman"/>
          <w:color w:val="000000"/>
          <w:sz w:val="24"/>
          <w:szCs w:val="24"/>
        </w:rPr>
        <w:t>Revisar la</w:t>
      </w:r>
      <w:r>
        <w:rPr>
          <w:rFonts w:eastAsia="Times New Roman"/>
          <w:color w:val="000000"/>
          <w:sz w:val="24"/>
          <w:szCs w:val="24"/>
        </w:rPr>
        <w:t xml:space="preserve"> Planificación Operativa Anual I</w:t>
      </w:r>
      <w:r w:rsidRPr="00EA7D32">
        <w:rPr>
          <w:rFonts w:eastAsia="Times New Roman"/>
          <w:color w:val="000000"/>
          <w:sz w:val="24"/>
          <w:szCs w:val="24"/>
        </w:rPr>
        <w:t>nstit</w:t>
      </w:r>
      <w:r>
        <w:rPr>
          <w:rFonts w:eastAsia="Times New Roman"/>
          <w:color w:val="000000"/>
          <w:sz w:val="24"/>
          <w:szCs w:val="24"/>
        </w:rPr>
        <w:t xml:space="preserve">ucional correspondiente al 2022, </w:t>
      </w:r>
      <w:r w:rsidRPr="00EA7D32">
        <w:rPr>
          <w:rFonts w:eastAsia="Times New Roman"/>
          <w:color w:val="000000"/>
          <w:sz w:val="24"/>
          <w:szCs w:val="24"/>
        </w:rPr>
        <w:t>por cada uno de sus componentes para verificar el grado de cumplimiento de las actividades y establecer planes de mejora con lo incumplido durante cada trimestre. </w:t>
      </w:r>
    </w:p>
    <w:p w14:paraId="465190D0" w14:textId="77777777" w:rsidR="00FB7AFC" w:rsidRPr="00EA7D32" w:rsidRDefault="00FB7AFC" w:rsidP="00FB7AFC">
      <w:pPr>
        <w:spacing w:after="0"/>
        <w:jc w:val="both"/>
        <w:rPr>
          <w:rFonts w:eastAsia="Times New Roman"/>
          <w:sz w:val="24"/>
          <w:szCs w:val="24"/>
        </w:rPr>
      </w:pPr>
    </w:p>
    <w:p w14:paraId="422D5387" w14:textId="77777777" w:rsidR="00FB7AFC" w:rsidRPr="00EA7D32" w:rsidRDefault="00FB7AFC" w:rsidP="00FB7AFC">
      <w:pPr>
        <w:spacing w:after="0"/>
        <w:jc w:val="both"/>
        <w:rPr>
          <w:rFonts w:eastAsia="Times New Roman"/>
          <w:sz w:val="24"/>
          <w:szCs w:val="24"/>
        </w:rPr>
      </w:pPr>
      <w:r w:rsidRPr="00EA7D32">
        <w:rPr>
          <w:rFonts w:eastAsia="Times New Roman"/>
          <w:b/>
          <w:bCs/>
          <w:color w:val="000000"/>
          <w:sz w:val="24"/>
          <w:szCs w:val="24"/>
        </w:rPr>
        <w:t>Actividades con cumplimiento del 100 %: </w:t>
      </w:r>
    </w:p>
    <w:p w14:paraId="5FEA4552" w14:textId="77777777" w:rsidR="00FB7AFC" w:rsidRPr="00EA7D32" w:rsidRDefault="00FB7AFC" w:rsidP="00FB7AFC">
      <w:pPr>
        <w:spacing w:after="0"/>
        <w:jc w:val="both"/>
        <w:rPr>
          <w:rFonts w:eastAsia="Times New Roman"/>
          <w:sz w:val="24"/>
          <w:szCs w:val="24"/>
        </w:rPr>
      </w:pPr>
      <w:r w:rsidRPr="00EA7D32">
        <w:rPr>
          <w:rFonts w:eastAsia="Times New Roman"/>
          <w:color w:val="000000"/>
          <w:sz w:val="24"/>
          <w:szCs w:val="24"/>
        </w:rPr>
        <w:t xml:space="preserve">1.1.1, 1.2.1, </w:t>
      </w:r>
      <w:r>
        <w:rPr>
          <w:rFonts w:eastAsia="Times New Roman"/>
          <w:color w:val="000000"/>
          <w:sz w:val="24"/>
          <w:szCs w:val="24"/>
        </w:rPr>
        <w:t>1.2.2, 1.4.1, 1.4.2, 1.5.1, 1.5.3, 2.1.2, 2.1.3, 3.1.1, 3.1.2, 3.1.3, 4.1.1 y 4.1.2</w:t>
      </w:r>
    </w:p>
    <w:p w14:paraId="39724E7B" w14:textId="77777777" w:rsidR="00FB7AFC" w:rsidRPr="00EA7D32" w:rsidRDefault="00FB7AFC" w:rsidP="00FB7AFC">
      <w:pPr>
        <w:spacing w:after="0"/>
        <w:jc w:val="both"/>
        <w:rPr>
          <w:rFonts w:eastAsia="Times New Roman"/>
          <w:sz w:val="24"/>
          <w:szCs w:val="24"/>
        </w:rPr>
      </w:pPr>
    </w:p>
    <w:p w14:paraId="7139898A" w14:textId="77777777" w:rsidR="00FB7AFC" w:rsidRPr="00EA7D32" w:rsidRDefault="00FB7AFC" w:rsidP="00FB7AFC">
      <w:pPr>
        <w:spacing w:after="0"/>
        <w:jc w:val="both"/>
        <w:rPr>
          <w:rFonts w:eastAsia="Times New Roman"/>
          <w:sz w:val="24"/>
          <w:szCs w:val="24"/>
        </w:rPr>
      </w:pPr>
      <w:r w:rsidRPr="00EA7D32">
        <w:rPr>
          <w:rFonts w:eastAsia="Times New Roman"/>
          <w:b/>
          <w:bCs/>
          <w:color w:val="000000"/>
          <w:sz w:val="24"/>
          <w:szCs w:val="24"/>
        </w:rPr>
        <w:t>Actividades con cumplimientos 50%  </w:t>
      </w:r>
    </w:p>
    <w:p w14:paraId="475E7090" w14:textId="77777777" w:rsidR="00FB7AFC" w:rsidRDefault="00FB7AFC" w:rsidP="00FB7AFC">
      <w:pPr>
        <w:spacing w:after="0"/>
        <w:jc w:val="both"/>
        <w:rPr>
          <w:rFonts w:eastAsia="Times New Roman"/>
          <w:sz w:val="24"/>
          <w:szCs w:val="24"/>
        </w:rPr>
      </w:pPr>
      <w:r w:rsidRPr="00EA7D32">
        <w:rPr>
          <w:rFonts w:eastAsia="Times New Roman"/>
          <w:color w:val="000000"/>
          <w:sz w:val="24"/>
          <w:szCs w:val="24"/>
        </w:rPr>
        <w:t>1</w:t>
      </w:r>
      <w:r>
        <w:rPr>
          <w:rFonts w:eastAsia="Times New Roman"/>
          <w:color w:val="000000"/>
          <w:sz w:val="24"/>
          <w:szCs w:val="24"/>
        </w:rPr>
        <w:t xml:space="preserve">.5.2 </w:t>
      </w:r>
      <w:r>
        <w:rPr>
          <w:rFonts w:ascii="Calibri" w:hAnsi="Calibri" w:cs="Calibri"/>
          <w:color w:val="444444"/>
          <w:shd w:val="clear" w:color="auto" w:fill="FFFFFF"/>
        </w:rPr>
        <w:t>Atenciones nutricionales de pacientes con ECNT, en el primer trimestre, renunció la nutricionista del hospital por lo que no se dieron atenciones nutricionales a los pacientes con enfermedades crónicas, ya para el segundo trimestre se tiene el recurso para brindar la atención, pero solo el 56 % de la población se clasificó su índice masa corporal y así detectar riesgos nutricionales en estos tipos de pacientes</w:t>
      </w:r>
    </w:p>
    <w:p w14:paraId="0D1120DA" w14:textId="77777777" w:rsidR="00FB7AFC" w:rsidRPr="00EA7D32" w:rsidRDefault="00FB7AFC" w:rsidP="00FB7AFC">
      <w:pPr>
        <w:spacing w:after="0"/>
        <w:jc w:val="both"/>
        <w:rPr>
          <w:rFonts w:eastAsia="Times New Roman"/>
          <w:sz w:val="24"/>
          <w:szCs w:val="24"/>
        </w:rPr>
      </w:pPr>
    </w:p>
    <w:p w14:paraId="65260B2F" w14:textId="77777777" w:rsidR="00FB7AFC" w:rsidRPr="00EA7D32" w:rsidRDefault="00FB7AFC" w:rsidP="00FB7AFC">
      <w:pPr>
        <w:spacing w:after="0"/>
        <w:jc w:val="both"/>
        <w:rPr>
          <w:rFonts w:eastAsia="Times New Roman"/>
          <w:sz w:val="24"/>
          <w:szCs w:val="24"/>
        </w:rPr>
      </w:pPr>
      <w:r w:rsidRPr="00EA7D32">
        <w:rPr>
          <w:rFonts w:eastAsia="Times New Roman"/>
          <w:b/>
          <w:bCs/>
          <w:color w:val="000000"/>
          <w:sz w:val="24"/>
          <w:szCs w:val="24"/>
        </w:rPr>
        <w:t>Actividades sin cumplimiento 0%</w:t>
      </w:r>
    </w:p>
    <w:p w14:paraId="7F87E88E" w14:textId="77777777" w:rsidR="00FB7AFC" w:rsidRPr="00EA7D32" w:rsidRDefault="00FB7AFC" w:rsidP="00FB7AFC">
      <w:pPr>
        <w:spacing w:after="0"/>
        <w:jc w:val="both"/>
        <w:rPr>
          <w:rFonts w:eastAsia="Times New Roman"/>
          <w:sz w:val="24"/>
          <w:szCs w:val="24"/>
        </w:rPr>
      </w:pPr>
    </w:p>
    <w:p w14:paraId="1BF191AA" w14:textId="77777777" w:rsidR="00FB7AFC" w:rsidRPr="00EA7D32" w:rsidRDefault="00FB7AFC" w:rsidP="00FB7AFC">
      <w:pPr>
        <w:spacing w:after="0"/>
        <w:jc w:val="both"/>
        <w:rPr>
          <w:rFonts w:eastAsia="Times New Roman"/>
          <w:sz w:val="24"/>
          <w:szCs w:val="24"/>
        </w:rPr>
      </w:pPr>
      <w:r>
        <w:rPr>
          <w:rFonts w:eastAsia="Times New Roman"/>
          <w:color w:val="000000"/>
          <w:sz w:val="24"/>
          <w:szCs w:val="24"/>
        </w:rPr>
        <w:t xml:space="preserve">1.3.1,1.5.4, 2.1.1, 2.1.3 </w:t>
      </w:r>
    </w:p>
    <w:p w14:paraId="1D6DE6D3" w14:textId="77777777" w:rsidR="00FB7AFC" w:rsidRDefault="00FB7AFC" w:rsidP="00FB7AFC">
      <w:pPr>
        <w:spacing w:after="240"/>
        <w:jc w:val="both"/>
        <w:rPr>
          <w:rFonts w:eastAsia="Times New Roman"/>
          <w:b/>
          <w:bCs/>
          <w:sz w:val="24"/>
          <w:szCs w:val="24"/>
          <w:u w:val="single"/>
        </w:rPr>
      </w:pPr>
    </w:p>
    <w:p w14:paraId="1C3CEBBF" w14:textId="60C5D715" w:rsidR="00FB7AFC" w:rsidRDefault="00FB7AFC" w:rsidP="00FB7AFC">
      <w:pPr>
        <w:spacing w:after="240"/>
        <w:jc w:val="both"/>
        <w:rPr>
          <w:rFonts w:eastAsia="Times New Roman"/>
          <w:b/>
          <w:bCs/>
          <w:sz w:val="24"/>
          <w:szCs w:val="24"/>
          <w:u w:val="single"/>
        </w:rPr>
      </w:pPr>
    </w:p>
    <w:p w14:paraId="20D92C9A" w14:textId="7198F6B2" w:rsidR="00FB7AFC" w:rsidRDefault="00FB7AFC" w:rsidP="00FB7AFC">
      <w:pPr>
        <w:spacing w:after="240"/>
        <w:jc w:val="both"/>
        <w:rPr>
          <w:rFonts w:eastAsia="Times New Roman"/>
          <w:b/>
          <w:bCs/>
          <w:sz w:val="24"/>
          <w:szCs w:val="24"/>
          <w:u w:val="single"/>
        </w:rPr>
      </w:pPr>
    </w:p>
    <w:p w14:paraId="143CF9DC" w14:textId="77777777" w:rsidR="00070EBE" w:rsidRDefault="00070EBE" w:rsidP="00FB7AFC">
      <w:pPr>
        <w:spacing w:after="240"/>
        <w:jc w:val="both"/>
        <w:rPr>
          <w:rFonts w:eastAsia="Times New Roman"/>
          <w:b/>
          <w:bCs/>
          <w:sz w:val="24"/>
          <w:szCs w:val="24"/>
          <w:u w:val="single"/>
        </w:rPr>
      </w:pPr>
    </w:p>
    <w:p w14:paraId="02BF2B59" w14:textId="77777777" w:rsidR="00FB7AFC" w:rsidRDefault="00FB7AFC" w:rsidP="00FB7AFC">
      <w:pPr>
        <w:spacing w:after="240"/>
        <w:jc w:val="both"/>
        <w:rPr>
          <w:rFonts w:eastAsia="Times New Roman"/>
          <w:b/>
          <w:bCs/>
          <w:sz w:val="24"/>
          <w:szCs w:val="24"/>
          <w:u w:val="single"/>
        </w:rPr>
      </w:pPr>
    </w:p>
    <w:p w14:paraId="0151145E" w14:textId="3FC1DFA3" w:rsidR="00FB7AFC" w:rsidRDefault="00FB7AFC"/>
    <w:p w14:paraId="10863DB4" w14:textId="77777777" w:rsidR="00FB7AFC" w:rsidRDefault="00FB7AFC" w:rsidP="00FB7AFC">
      <w:pPr>
        <w:spacing w:after="0"/>
        <w:jc w:val="both"/>
        <w:rPr>
          <w:rFonts w:eastAsia="Times New Roman"/>
          <w:b/>
          <w:bCs/>
          <w:color w:val="000000"/>
          <w:sz w:val="24"/>
          <w:szCs w:val="24"/>
          <w:u w:val="single"/>
        </w:rPr>
      </w:pPr>
      <w:r w:rsidRPr="00FD75BB">
        <w:rPr>
          <w:rFonts w:eastAsia="Times New Roman"/>
          <w:b/>
          <w:bCs/>
          <w:color w:val="000000"/>
          <w:sz w:val="24"/>
          <w:szCs w:val="24"/>
          <w:u w:val="single"/>
        </w:rPr>
        <w:t>ANÁLISIS</w:t>
      </w:r>
    </w:p>
    <w:p w14:paraId="08F9D831" w14:textId="77777777" w:rsidR="00FB7AFC" w:rsidRPr="00FD75BB" w:rsidRDefault="00FB7AFC" w:rsidP="00FB7AFC">
      <w:pPr>
        <w:spacing w:after="0"/>
        <w:jc w:val="both"/>
        <w:rPr>
          <w:rFonts w:eastAsia="Times New Roman"/>
          <w:b/>
          <w:bCs/>
          <w:color w:val="000000"/>
          <w:sz w:val="24"/>
          <w:szCs w:val="24"/>
          <w:u w:val="single"/>
        </w:rPr>
      </w:pPr>
    </w:p>
    <w:p w14:paraId="73E7934F" w14:textId="77777777" w:rsidR="00FB7AFC" w:rsidRDefault="00FB7AFC" w:rsidP="00FB7AFC">
      <w:pPr>
        <w:pStyle w:val="Prrafodelista"/>
        <w:numPr>
          <w:ilvl w:val="0"/>
          <w:numId w:val="1"/>
        </w:numPr>
        <w:spacing w:after="0"/>
        <w:jc w:val="both"/>
        <w:rPr>
          <w:rFonts w:eastAsia="Times New Roman"/>
          <w:color w:val="000000"/>
          <w:sz w:val="24"/>
          <w:szCs w:val="24"/>
        </w:rPr>
      </w:pPr>
      <w:r w:rsidRPr="00FD75BB">
        <w:rPr>
          <w:rFonts w:eastAsia="Times New Roman"/>
          <w:color w:val="000000"/>
          <w:sz w:val="24"/>
          <w:szCs w:val="24"/>
        </w:rPr>
        <w:t>De las 1</w:t>
      </w:r>
      <w:r>
        <w:rPr>
          <w:rFonts w:eastAsia="Times New Roman"/>
          <w:color w:val="000000"/>
          <w:sz w:val="24"/>
          <w:szCs w:val="24"/>
        </w:rPr>
        <w:t>9</w:t>
      </w:r>
      <w:r w:rsidRPr="00FD75BB">
        <w:rPr>
          <w:rFonts w:eastAsia="Times New Roman"/>
          <w:color w:val="000000"/>
          <w:sz w:val="24"/>
          <w:szCs w:val="24"/>
        </w:rPr>
        <w:t xml:space="preserve"> actividades establecidas para el período 2022, 1</w:t>
      </w:r>
      <w:r>
        <w:rPr>
          <w:rFonts w:eastAsia="Times New Roman"/>
          <w:color w:val="000000"/>
          <w:sz w:val="24"/>
          <w:szCs w:val="24"/>
        </w:rPr>
        <w:t>4</w:t>
      </w:r>
      <w:r w:rsidRPr="00FD75BB">
        <w:rPr>
          <w:rFonts w:eastAsia="Times New Roman"/>
          <w:color w:val="000000"/>
          <w:sz w:val="24"/>
          <w:szCs w:val="24"/>
        </w:rPr>
        <w:t xml:space="preserve"> actividades (7</w:t>
      </w:r>
      <w:r>
        <w:rPr>
          <w:rFonts w:eastAsia="Times New Roman"/>
          <w:color w:val="000000"/>
          <w:sz w:val="24"/>
          <w:szCs w:val="24"/>
        </w:rPr>
        <w:t>4</w:t>
      </w:r>
      <w:r w:rsidRPr="00FD75BB">
        <w:rPr>
          <w:rFonts w:eastAsia="Times New Roman"/>
          <w:color w:val="000000"/>
          <w:sz w:val="24"/>
          <w:szCs w:val="24"/>
        </w:rPr>
        <w:t>%) % obtuvieron un cumplimiento del 100% de lo programado</w:t>
      </w:r>
    </w:p>
    <w:p w14:paraId="160B30CB" w14:textId="77777777" w:rsidR="00FB7AFC" w:rsidRDefault="00FB7AFC" w:rsidP="00FB7AFC">
      <w:pPr>
        <w:pStyle w:val="Prrafodelista"/>
        <w:spacing w:after="0"/>
        <w:jc w:val="both"/>
        <w:rPr>
          <w:rFonts w:eastAsia="Times New Roman"/>
          <w:color w:val="000000"/>
          <w:sz w:val="24"/>
          <w:szCs w:val="24"/>
        </w:rPr>
      </w:pPr>
    </w:p>
    <w:p w14:paraId="465B8F39" w14:textId="77777777" w:rsidR="00FB7AFC" w:rsidRPr="00FD75BB" w:rsidRDefault="00FB7AFC" w:rsidP="00FB7AFC">
      <w:pPr>
        <w:pStyle w:val="Prrafodelista"/>
        <w:numPr>
          <w:ilvl w:val="0"/>
          <w:numId w:val="1"/>
        </w:numPr>
        <w:spacing w:after="0"/>
        <w:jc w:val="both"/>
        <w:rPr>
          <w:rFonts w:eastAsia="Times New Roman"/>
          <w:color w:val="000000"/>
          <w:sz w:val="24"/>
          <w:szCs w:val="24"/>
        </w:rPr>
      </w:pPr>
      <w:r w:rsidRPr="00FD75BB">
        <w:rPr>
          <w:rFonts w:eastAsia="Times New Roman"/>
          <w:color w:val="000000"/>
          <w:sz w:val="24"/>
          <w:szCs w:val="24"/>
        </w:rPr>
        <w:t>1 actividad (</w:t>
      </w:r>
      <w:r>
        <w:rPr>
          <w:rFonts w:eastAsia="Times New Roman"/>
          <w:color w:val="000000"/>
          <w:sz w:val="24"/>
          <w:szCs w:val="24"/>
        </w:rPr>
        <w:t>5</w:t>
      </w:r>
      <w:r w:rsidRPr="00FD75BB">
        <w:rPr>
          <w:rFonts w:eastAsia="Times New Roman"/>
          <w:color w:val="000000"/>
          <w:sz w:val="24"/>
          <w:szCs w:val="24"/>
        </w:rPr>
        <w:t xml:space="preserve">%) cumplió </w:t>
      </w:r>
      <w:r>
        <w:rPr>
          <w:rFonts w:eastAsia="Times New Roman"/>
          <w:color w:val="000000"/>
          <w:sz w:val="24"/>
          <w:szCs w:val="24"/>
        </w:rPr>
        <w:t>con el</w:t>
      </w:r>
      <w:r w:rsidRPr="00FD75BB">
        <w:rPr>
          <w:rFonts w:eastAsia="Times New Roman"/>
          <w:color w:val="000000"/>
          <w:sz w:val="24"/>
          <w:szCs w:val="24"/>
        </w:rPr>
        <w:t xml:space="preserve"> 50 %, debido a la renuncia de ese recurso nutricionista en el primer trimestre, pero se solventó a la brevedad posible en el segundo trimestre, no alcan</w:t>
      </w:r>
      <w:r>
        <w:rPr>
          <w:rFonts w:eastAsia="Times New Roman"/>
          <w:color w:val="000000"/>
          <w:sz w:val="24"/>
          <w:szCs w:val="24"/>
        </w:rPr>
        <w:t xml:space="preserve">zando </w:t>
      </w:r>
      <w:r w:rsidRPr="00FD75BB">
        <w:rPr>
          <w:rFonts w:eastAsia="Times New Roman"/>
          <w:color w:val="000000"/>
          <w:sz w:val="24"/>
          <w:szCs w:val="24"/>
        </w:rPr>
        <w:t>la meta a cumplir</w:t>
      </w:r>
      <w:r>
        <w:rPr>
          <w:rFonts w:eastAsia="Times New Roman"/>
          <w:color w:val="000000"/>
          <w:sz w:val="24"/>
          <w:szCs w:val="24"/>
        </w:rPr>
        <w:t>,</w:t>
      </w:r>
      <w:r w:rsidRPr="00FD75BB">
        <w:rPr>
          <w:rFonts w:eastAsia="Times New Roman"/>
          <w:color w:val="000000"/>
          <w:sz w:val="24"/>
          <w:szCs w:val="24"/>
        </w:rPr>
        <w:t xml:space="preserve"> de detectar riesgo nutricional a través del cálculo de IMC de los pacientes con enfermedades crónicas.</w:t>
      </w:r>
    </w:p>
    <w:p w14:paraId="41924F61" w14:textId="77777777" w:rsidR="00FB7AFC" w:rsidRDefault="00FB7AFC" w:rsidP="00FB7AFC">
      <w:pPr>
        <w:spacing w:after="0"/>
        <w:jc w:val="both"/>
        <w:rPr>
          <w:rFonts w:eastAsia="Times New Roman"/>
          <w:color w:val="000000"/>
          <w:sz w:val="24"/>
          <w:szCs w:val="24"/>
        </w:rPr>
      </w:pPr>
    </w:p>
    <w:p w14:paraId="24FC15A1" w14:textId="77777777" w:rsidR="00FB7AFC" w:rsidRPr="00FD75BB" w:rsidRDefault="00FB7AFC" w:rsidP="00FB7AFC">
      <w:pPr>
        <w:pStyle w:val="Prrafodelista"/>
        <w:numPr>
          <w:ilvl w:val="0"/>
          <w:numId w:val="1"/>
        </w:numPr>
        <w:spacing w:after="0"/>
        <w:jc w:val="both"/>
        <w:rPr>
          <w:rFonts w:eastAsia="Times New Roman"/>
          <w:sz w:val="24"/>
          <w:szCs w:val="24"/>
        </w:rPr>
      </w:pPr>
      <w:r w:rsidRPr="00FD75BB">
        <w:rPr>
          <w:rFonts w:eastAsia="Times New Roman"/>
          <w:color w:val="000000"/>
          <w:sz w:val="24"/>
          <w:szCs w:val="24"/>
        </w:rPr>
        <w:t>4 actividades no fueron ejecutadas que corresponde al 2</w:t>
      </w:r>
      <w:r>
        <w:rPr>
          <w:rFonts w:eastAsia="Times New Roman"/>
          <w:color w:val="000000"/>
          <w:sz w:val="24"/>
          <w:szCs w:val="24"/>
        </w:rPr>
        <w:t>1</w:t>
      </w:r>
      <w:r w:rsidRPr="00FD75BB">
        <w:rPr>
          <w:rFonts w:eastAsia="Times New Roman"/>
          <w:color w:val="000000"/>
          <w:sz w:val="24"/>
          <w:szCs w:val="24"/>
        </w:rPr>
        <w:t xml:space="preserve"> % de la programación hospitalaria.</w:t>
      </w:r>
    </w:p>
    <w:p w14:paraId="75D68FB6" w14:textId="77777777" w:rsidR="00FB7AFC" w:rsidRPr="00EA7D32" w:rsidRDefault="00FB7AFC" w:rsidP="00FB7AFC">
      <w:pPr>
        <w:spacing w:after="0"/>
        <w:jc w:val="both"/>
        <w:rPr>
          <w:rFonts w:eastAsia="Times New Roman"/>
          <w:sz w:val="24"/>
          <w:szCs w:val="24"/>
        </w:rPr>
      </w:pPr>
    </w:p>
    <w:p w14:paraId="43542B3C" w14:textId="77777777" w:rsidR="00FB7AFC" w:rsidRPr="00FD75BB" w:rsidRDefault="00FB7AFC" w:rsidP="00FB7AFC">
      <w:pPr>
        <w:pStyle w:val="Prrafodelista"/>
        <w:spacing w:after="0"/>
        <w:jc w:val="both"/>
        <w:rPr>
          <w:rFonts w:eastAsia="Times New Roman"/>
          <w:color w:val="000000"/>
          <w:sz w:val="24"/>
          <w:szCs w:val="24"/>
        </w:rPr>
      </w:pPr>
    </w:p>
    <w:p w14:paraId="0F0B68DA" w14:textId="77777777" w:rsidR="00FB7AFC" w:rsidRDefault="00FB7AFC" w:rsidP="00FB7AFC">
      <w:pPr>
        <w:spacing w:after="0"/>
        <w:jc w:val="both"/>
        <w:rPr>
          <w:rFonts w:eastAsia="Times New Roman"/>
          <w:color w:val="000000"/>
          <w:sz w:val="24"/>
          <w:szCs w:val="24"/>
        </w:rPr>
      </w:pPr>
      <w:r>
        <w:rPr>
          <w:rFonts w:eastAsia="Times New Roman"/>
          <w:color w:val="000000"/>
          <w:sz w:val="24"/>
          <w:szCs w:val="24"/>
        </w:rPr>
        <w:t xml:space="preserve">La causa principal del incumplimiento de dos actividades, es la escasez de recurso de médico especialista Internista en la institución, solo se cuenta con 1 recurso de 4 horas de consulta externa en esa especialidad y es necesario que el médico especialista detecte oportunamente a las pacientes con enfermedades crónicas (LUPUS, CARDIOPATAS, ASMATICAS, IRC) en edad reproductiva y las refiera a la CARR, pero no se está cumpliendo ni se están detectando este riesgo en estas pacientes. </w:t>
      </w:r>
    </w:p>
    <w:p w14:paraId="43C234AF" w14:textId="77777777" w:rsidR="00FB7AFC" w:rsidRDefault="00FB7AFC" w:rsidP="00FB7AFC">
      <w:pPr>
        <w:spacing w:after="0"/>
        <w:jc w:val="both"/>
        <w:rPr>
          <w:rFonts w:eastAsia="Times New Roman"/>
          <w:color w:val="000000"/>
          <w:sz w:val="24"/>
          <w:szCs w:val="24"/>
        </w:rPr>
      </w:pPr>
    </w:p>
    <w:p w14:paraId="0C6BEDFA" w14:textId="77777777" w:rsidR="00FB7AFC" w:rsidRDefault="00FB7AFC" w:rsidP="00FB7AFC">
      <w:pPr>
        <w:spacing w:after="0"/>
        <w:jc w:val="both"/>
        <w:rPr>
          <w:rFonts w:eastAsia="Times New Roman"/>
          <w:color w:val="000000"/>
          <w:sz w:val="24"/>
          <w:szCs w:val="24"/>
        </w:rPr>
      </w:pPr>
      <w:r>
        <w:rPr>
          <w:rFonts w:eastAsia="Times New Roman"/>
          <w:color w:val="000000"/>
          <w:sz w:val="24"/>
          <w:szCs w:val="24"/>
        </w:rPr>
        <w:t>El abastecimiento de la entrega domiciliar del medicamento para los pacientes con enfermedades crónicas no se cumple, los pacientes manifiestan la tardanza de correos para enviar el medicamento, otros viven en zonas de riesgo social donde no pueden hacer la entrega domiciliar, y otra causa fue la poca comunicación entre los médicos de abastecimiento crónico en ofertar la entrega domiciliar a los pacientes y promocionar ese servicio de atención.</w:t>
      </w:r>
    </w:p>
    <w:p w14:paraId="23953F7A" w14:textId="77777777" w:rsidR="00FB7AFC" w:rsidRPr="00EA7D32" w:rsidRDefault="00FB7AFC" w:rsidP="00FB7AFC">
      <w:pPr>
        <w:spacing w:after="0"/>
        <w:jc w:val="both"/>
        <w:rPr>
          <w:rFonts w:eastAsia="Times New Roman"/>
          <w:sz w:val="24"/>
          <w:szCs w:val="24"/>
        </w:rPr>
      </w:pPr>
    </w:p>
    <w:p w14:paraId="2FB0F2E1" w14:textId="77777777" w:rsidR="00FB7AFC" w:rsidRPr="002B2677" w:rsidRDefault="00FB7AFC" w:rsidP="00FB7AFC">
      <w:pPr>
        <w:spacing w:after="0"/>
        <w:jc w:val="both"/>
        <w:rPr>
          <w:rFonts w:eastAsia="Times New Roman"/>
          <w:b/>
          <w:bCs/>
          <w:sz w:val="24"/>
          <w:szCs w:val="24"/>
          <w:u w:val="single"/>
        </w:rPr>
      </w:pPr>
      <w:r w:rsidRPr="002B2677">
        <w:rPr>
          <w:rFonts w:eastAsia="Times New Roman"/>
          <w:b/>
          <w:bCs/>
          <w:color w:val="000000"/>
          <w:sz w:val="24"/>
          <w:szCs w:val="24"/>
          <w:u w:val="single"/>
        </w:rPr>
        <w:t>ACUERDO: </w:t>
      </w:r>
    </w:p>
    <w:p w14:paraId="3262671F" w14:textId="77777777" w:rsidR="00FB7AFC" w:rsidRPr="00EA7D32" w:rsidRDefault="00FB7AFC" w:rsidP="00FB7AFC">
      <w:pPr>
        <w:spacing w:after="0"/>
        <w:jc w:val="both"/>
        <w:rPr>
          <w:rFonts w:eastAsia="Times New Roman"/>
          <w:sz w:val="24"/>
          <w:szCs w:val="24"/>
        </w:rPr>
      </w:pPr>
    </w:p>
    <w:p w14:paraId="041AF1BF" w14:textId="77777777" w:rsidR="00FB7AFC" w:rsidRDefault="00FB7AFC" w:rsidP="00FB7AFC">
      <w:pPr>
        <w:spacing w:after="0"/>
        <w:jc w:val="both"/>
      </w:pPr>
      <w:r w:rsidRPr="00EA7D32">
        <w:rPr>
          <w:rFonts w:eastAsia="Times New Roman"/>
          <w:color w:val="000000"/>
          <w:sz w:val="24"/>
          <w:szCs w:val="24"/>
        </w:rPr>
        <w:t>Las actividades que no fueron cumplidas en</w:t>
      </w:r>
      <w:r>
        <w:rPr>
          <w:rFonts w:eastAsia="Times New Roman"/>
          <w:color w:val="000000"/>
          <w:sz w:val="24"/>
          <w:szCs w:val="24"/>
        </w:rPr>
        <w:t xml:space="preserve"> el primer semestre de</w:t>
      </w:r>
      <w:r w:rsidRPr="00EA7D32">
        <w:rPr>
          <w:rFonts w:eastAsia="Times New Roman"/>
          <w:color w:val="000000"/>
          <w:sz w:val="24"/>
          <w:szCs w:val="24"/>
        </w:rPr>
        <w:t xml:space="preserve"> la POA 202</w:t>
      </w:r>
      <w:r>
        <w:rPr>
          <w:rFonts w:eastAsia="Times New Roman"/>
          <w:color w:val="000000"/>
          <w:sz w:val="24"/>
          <w:szCs w:val="24"/>
        </w:rPr>
        <w:t>2</w:t>
      </w:r>
      <w:r w:rsidRPr="00EA7D32">
        <w:rPr>
          <w:rFonts w:eastAsia="Times New Roman"/>
          <w:color w:val="000000"/>
          <w:sz w:val="24"/>
          <w:szCs w:val="24"/>
        </w:rPr>
        <w:t xml:space="preserve"> deberán ser analizadas y retomadas para su ejecución </w:t>
      </w:r>
      <w:r>
        <w:rPr>
          <w:rFonts w:eastAsia="Times New Roman"/>
          <w:color w:val="000000"/>
          <w:sz w:val="24"/>
          <w:szCs w:val="24"/>
        </w:rPr>
        <w:t>en el próximo semestre</w:t>
      </w:r>
      <w:r w:rsidRPr="00EA7D32">
        <w:rPr>
          <w:rFonts w:eastAsia="Times New Roman"/>
          <w:color w:val="000000"/>
          <w:sz w:val="24"/>
          <w:szCs w:val="24"/>
        </w:rPr>
        <w:t xml:space="preserve">, de acuerdo </w:t>
      </w:r>
      <w:r>
        <w:rPr>
          <w:rFonts w:eastAsia="Times New Roman"/>
          <w:color w:val="000000"/>
          <w:sz w:val="24"/>
          <w:szCs w:val="24"/>
        </w:rPr>
        <w:t>con lo establecido en el indicador, coordinar con la dirección la participación de los médicos encargados de esos indicadores para dar cumplimiento.</w:t>
      </w:r>
    </w:p>
    <w:p w14:paraId="0BAD403E" w14:textId="77777777" w:rsidR="00FB7AFC" w:rsidRDefault="00FB7AFC"/>
    <w:sectPr w:rsidR="00FB7AFC" w:rsidSect="00FB7AF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ordVisiCarriageReturn_MSFontSe">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CA1"/>
    <w:multiLevelType w:val="hybridMultilevel"/>
    <w:tmpl w:val="1500E9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FC"/>
    <w:rsid w:val="00070EBE"/>
    <w:rsid w:val="002A6FA9"/>
    <w:rsid w:val="00AC6D85"/>
    <w:rsid w:val="00FB7A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CB77"/>
  <w15:chartTrackingRefBased/>
  <w15:docId w15:val="{6E0C2A1A-7348-47E1-A5E8-DAC4682C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7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1774</Words>
  <Characters>9757</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DraPonce</dc:creator>
  <cp:keywords/>
  <dc:description/>
  <cp:lastModifiedBy>DraPonce</cp:lastModifiedBy>
  <cp:revision>4</cp:revision>
  <dcterms:created xsi:type="dcterms:W3CDTF">2022-08-25T20:46:00Z</dcterms:created>
  <dcterms:modified xsi:type="dcterms:W3CDTF">2022-08-25T20:53:00Z</dcterms:modified>
</cp:coreProperties>
</file>