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5" w:rsidRDefault="00102BA5" w:rsidP="0095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421" w:rsidRDefault="00710518" w:rsidP="00957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El </w:t>
      </w:r>
      <w:r w:rsidR="00890344" w:rsidRPr="00D14FD0">
        <w:rPr>
          <w:rFonts w:ascii="Times New Roman" w:hAnsi="Times New Roman" w:cs="Times New Roman"/>
          <w:sz w:val="24"/>
          <w:szCs w:val="24"/>
        </w:rPr>
        <w:t>instituto</w:t>
      </w:r>
      <w:r w:rsidR="0095747C">
        <w:rPr>
          <w:rFonts w:ascii="Times New Roman" w:hAnsi="Times New Roman" w:cs="Times New Roman"/>
          <w:sz w:val="24"/>
          <w:szCs w:val="24"/>
        </w:rPr>
        <w:t xml:space="preserve"> de Previsión Social de la Fuerza Armada</w:t>
      </w:r>
      <w:r w:rsidR="00A94A4B">
        <w:rPr>
          <w:rFonts w:ascii="Times New Roman" w:hAnsi="Times New Roman" w:cs="Times New Roman"/>
          <w:sz w:val="24"/>
          <w:szCs w:val="24"/>
        </w:rPr>
        <w:t>,</w:t>
      </w:r>
      <w:r w:rsidR="00890344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</w:rPr>
        <w:t>con el objetivo de c</w:t>
      </w:r>
      <w:r w:rsidR="006B5E7E" w:rsidRPr="00D14FD0">
        <w:rPr>
          <w:rFonts w:ascii="Times New Roman" w:hAnsi="Times New Roman" w:cs="Times New Roman"/>
          <w:sz w:val="24"/>
          <w:szCs w:val="24"/>
        </w:rPr>
        <w:t>umpli</w:t>
      </w:r>
      <w:r w:rsidR="002D15FB">
        <w:rPr>
          <w:rFonts w:ascii="Times New Roman" w:hAnsi="Times New Roman" w:cs="Times New Roman"/>
          <w:sz w:val="24"/>
          <w:szCs w:val="24"/>
        </w:rPr>
        <w:t>r</w:t>
      </w:r>
      <w:r w:rsidR="006B5E7E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A94A4B">
        <w:rPr>
          <w:rFonts w:ascii="Times New Roman" w:hAnsi="Times New Roman" w:cs="Times New Roman"/>
          <w:sz w:val="24"/>
          <w:szCs w:val="24"/>
        </w:rPr>
        <w:t xml:space="preserve">con </w:t>
      </w:r>
      <w:r w:rsidR="00FB7C64">
        <w:rPr>
          <w:rFonts w:ascii="Times New Roman" w:hAnsi="Times New Roman" w:cs="Times New Roman"/>
          <w:sz w:val="24"/>
          <w:szCs w:val="24"/>
        </w:rPr>
        <w:t xml:space="preserve">el </w:t>
      </w:r>
      <w:r w:rsidR="00C1537C" w:rsidRPr="00D14FD0">
        <w:rPr>
          <w:rFonts w:ascii="Times New Roman" w:hAnsi="Times New Roman" w:cs="Times New Roman"/>
          <w:sz w:val="24"/>
          <w:szCs w:val="24"/>
        </w:rPr>
        <w:t>Art. 18 de las “N</w:t>
      </w:r>
      <w:r w:rsidRPr="00D14FD0">
        <w:rPr>
          <w:rFonts w:ascii="Times New Roman" w:hAnsi="Times New Roman" w:cs="Times New Roman"/>
          <w:sz w:val="24"/>
          <w:szCs w:val="24"/>
        </w:rPr>
        <w:t>ORMAS PARA LA GESTION INTEGRAL DE RIESGOS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” NPB4-47, emitidas por la Superintendencia del Sistema Financiero, presenta </w:t>
      </w:r>
      <w:r w:rsidR="00713F98" w:rsidRPr="00D14FD0">
        <w:rPr>
          <w:rFonts w:ascii="Times New Roman" w:hAnsi="Times New Roman" w:cs="Times New Roman"/>
          <w:sz w:val="24"/>
          <w:szCs w:val="24"/>
        </w:rPr>
        <w:t>el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resumen sobre las acciones realizadas en relación a la </w:t>
      </w:r>
      <w:r w:rsidR="00AA0042">
        <w:rPr>
          <w:rFonts w:ascii="Times New Roman" w:hAnsi="Times New Roman" w:cs="Times New Roman"/>
          <w:sz w:val="24"/>
          <w:szCs w:val="24"/>
        </w:rPr>
        <w:t>G</w:t>
      </w:r>
      <w:r w:rsidR="00C1537C" w:rsidRPr="00D14FD0">
        <w:rPr>
          <w:rFonts w:ascii="Times New Roman" w:hAnsi="Times New Roman" w:cs="Times New Roman"/>
          <w:sz w:val="24"/>
          <w:szCs w:val="24"/>
        </w:rPr>
        <w:t>estión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AA0042">
        <w:rPr>
          <w:rFonts w:ascii="Times New Roman" w:hAnsi="Times New Roman" w:cs="Times New Roman"/>
          <w:sz w:val="24"/>
          <w:szCs w:val="24"/>
        </w:rPr>
        <w:t>I</w:t>
      </w:r>
      <w:r w:rsidRPr="00D14FD0">
        <w:rPr>
          <w:rFonts w:ascii="Times New Roman" w:hAnsi="Times New Roman" w:cs="Times New Roman"/>
          <w:sz w:val="24"/>
          <w:szCs w:val="24"/>
        </w:rPr>
        <w:t>ntegral d</w:t>
      </w:r>
      <w:r w:rsidR="00C1537C" w:rsidRPr="00D14FD0">
        <w:rPr>
          <w:rFonts w:ascii="Times New Roman" w:hAnsi="Times New Roman" w:cs="Times New Roman"/>
          <w:sz w:val="24"/>
          <w:szCs w:val="24"/>
        </w:rPr>
        <w:t>e</w:t>
      </w:r>
      <w:r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</w:rPr>
        <w:t>Riesgo</w:t>
      </w:r>
      <w:r w:rsidRPr="00D14FD0">
        <w:rPr>
          <w:rFonts w:ascii="Times New Roman" w:hAnsi="Times New Roman" w:cs="Times New Roman"/>
          <w:sz w:val="24"/>
          <w:szCs w:val="24"/>
        </w:rPr>
        <w:t xml:space="preserve">s </w:t>
      </w:r>
      <w:r w:rsidR="00AA0042">
        <w:rPr>
          <w:rFonts w:ascii="Times New Roman" w:hAnsi="Times New Roman" w:cs="Times New Roman"/>
          <w:sz w:val="24"/>
          <w:szCs w:val="24"/>
        </w:rPr>
        <w:t>de 201</w:t>
      </w:r>
      <w:r w:rsidR="003C7900">
        <w:rPr>
          <w:rFonts w:ascii="Times New Roman" w:hAnsi="Times New Roman" w:cs="Times New Roman"/>
          <w:sz w:val="24"/>
          <w:szCs w:val="24"/>
        </w:rPr>
        <w:t>7</w:t>
      </w:r>
      <w:r w:rsidR="00AA0042">
        <w:rPr>
          <w:rFonts w:ascii="Times New Roman" w:hAnsi="Times New Roman" w:cs="Times New Roman"/>
          <w:sz w:val="24"/>
          <w:szCs w:val="24"/>
        </w:rPr>
        <w:t>,</w:t>
      </w:r>
      <w:r w:rsidR="00CE514F" w:rsidRPr="00D14FD0">
        <w:rPr>
          <w:rFonts w:ascii="Times New Roman" w:hAnsi="Times New Roman" w:cs="Times New Roman"/>
          <w:sz w:val="24"/>
          <w:szCs w:val="24"/>
        </w:rPr>
        <w:t xml:space="preserve"> l</w:t>
      </w:r>
      <w:r w:rsidR="00691C42">
        <w:rPr>
          <w:rFonts w:ascii="Times New Roman" w:hAnsi="Times New Roman" w:cs="Times New Roman"/>
          <w:sz w:val="24"/>
          <w:szCs w:val="24"/>
        </w:rPr>
        <w:t>o</w:t>
      </w:r>
      <w:r w:rsidR="00CE514F" w:rsidRPr="00D14FD0">
        <w:rPr>
          <w:rFonts w:ascii="Times New Roman" w:hAnsi="Times New Roman" w:cs="Times New Roman"/>
          <w:sz w:val="24"/>
          <w:szCs w:val="24"/>
        </w:rPr>
        <w:t xml:space="preserve"> cual consiste en</w:t>
      </w:r>
      <w:r w:rsidR="00AA0042">
        <w:rPr>
          <w:rFonts w:ascii="Times New Roman" w:hAnsi="Times New Roman" w:cs="Times New Roman"/>
          <w:sz w:val="24"/>
          <w:szCs w:val="24"/>
        </w:rPr>
        <w:t xml:space="preserve"> </w:t>
      </w:r>
      <w:r w:rsidR="00DA53E7">
        <w:rPr>
          <w:rFonts w:ascii="Times New Roman" w:hAnsi="Times New Roman" w:cs="Times New Roman"/>
          <w:sz w:val="24"/>
          <w:szCs w:val="24"/>
        </w:rPr>
        <w:t>el</w:t>
      </w:r>
      <w:r w:rsidR="00AA0042">
        <w:rPr>
          <w:rFonts w:ascii="Times New Roman" w:hAnsi="Times New Roman" w:cs="Times New Roman"/>
          <w:sz w:val="24"/>
          <w:szCs w:val="24"/>
        </w:rPr>
        <w:t xml:space="preserve"> proceso</w:t>
      </w:r>
      <w:r w:rsidR="002D74A8">
        <w:rPr>
          <w:rFonts w:ascii="Times New Roman" w:hAnsi="Times New Roman" w:cs="Times New Roman"/>
          <w:sz w:val="24"/>
          <w:szCs w:val="24"/>
        </w:rPr>
        <w:t xml:space="preserve"> de participación </w:t>
      </w:r>
      <w:r w:rsidR="00003558">
        <w:rPr>
          <w:rFonts w:ascii="Times New Roman" w:hAnsi="Times New Roman" w:cs="Times New Roman"/>
          <w:sz w:val="24"/>
          <w:szCs w:val="24"/>
        </w:rPr>
        <w:t xml:space="preserve">que se realiza con </w:t>
      </w:r>
      <w:r w:rsidR="002D74A8">
        <w:rPr>
          <w:rFonts w:ascii="Times New Roman" w:hAnsi="Times New Roman" w:cs="Times New Roman"/>
          <w:sz w:val="24"/>
          <w:szCs w:val="24"/>
        </w:rPr>
        <w:t xml:space="preserve">las diferentes </w:t>
      </w:r>
      <w:r w:rsidR="00DA53E7">
        <w:rPr>
          <w:rFonts w:ascii="Times New Roman" w:hAnsi="Times New Roman" w:cs="Times New Roman"/>
          <w:sz w:val="24"/>
          <w:szCs w:val="24"/>
        </w:rPr>
        <w:t xml:space="preserve">jefatura de </w:t>
      </w:r>
      <w:r w:rsidR="002D74A8">
        <w:rPr>
          <w:rFonts w:ascii="Times New Roman" w:hAnsi="Times New Roman" w:cs="Times New Roman"/>
          <w:sz w:val="24"/>
          <w:szCs w:val="24"/>
        </w:rPr>
        <w:t>áreas</w:t>
      </w:r>
      <w:r w:rsidR="00000A5A">
        <w:rPr>
          <w:rFonts w:ascii="Times New Roman" w:hAnsi="Times New Roman" w:cs="Times New Roman"/>
          <w:sz w:val="24"/>
          <w:szCs w:val="24"/>
        </w:rPr>
        <w:t xml:space="preserve"> y unidades </w:t>
      </w:r>
      <w:r w:rsidR="002D74A8">
        <w:rPr>
          <w:rFonts w:ascii="Times New Roman" w:hAnsi="Times New Roman" w:cs="Times New Roman"/>
          <w:sz w:val="24"/>
          <w:szCs w:val="24"/>
        </w:rPr>
        <w:t>de</w:t>
      </w:r>
      <w:r w:rsidR="00A94A4B">
        <w:rPr>
          <w:rFonts w:ascii="Times New Roman" w:hAnsi="Times New Roman" w:cs="Times New Roman"/>
          <w:sz w:val="24"/>
          <w:szCs w:val="24"/>
        </w:rPr>
        <w:t>l</w:t>
      </w:r>
      <w:r w:rsidR="002D74A8">
        <w:rPr>
          <w:rFonts w:ascii="Times New Roman" w:hAnsi="Times New Roman" w:cs="Times New Roman"/>
          <w:sz w:val="24"/>
          <w:szCs w:val="24"/>
        </w:rPr>
        <w:t xml:space="preserve"> instituto con las que </w:t>
      </w:r>
      <w:r w:rsidR="00000A5A">
        <w:rPr>
          <w:rFonts w:ascii="Times New Roman" w:hAnsi="Times New Roman" w:cs="Times New Roman"/>
          <w:sz w:val="24"/>
          <w:szCs w:val="24"/>
        </w:rPr>
        <w:t>se</w:t>
      </w:r>
      <w:r w:rsidR="002D74A8">
        <w:rPr>
          <w:rFonts w:ascii="Times New Roman" w:hAnsi="Times New Roman" w:cs="Times New Roman"/>
          <w:sz w:val="24"/>
          <w:szCs w:val="24"/>
        </w:rPr>
        <w:t xml:space="preserve"> </w:t>
      </w:r>
      <w:r w:rsidR="00691C42">
        <w:rPr>
          <w:rFonts w:ascii="Times New Roman" w:hAnsi="Times New Roman" w:cs="Times New Roman"/>
          <w:sz w:val="24"/>
          <w:szCs w:val="24"/>
        </w:rPr>
        <w:t xml:space="preserve">desarrollan las </w:t>
      </w:r>
      <w:r w:rsidR="003C7900">
        <w:rPr>
          <w:rFonts w:ascii="Times New Roman" w:hAnsi="Times New Roman" w:cs="Times New Roman"/>
          <w:sz w:val="24"/>
          <w:szCs w:val="24"/>
        </w:rPr>
        <w:t xml:space="preserve">siguientes </w:t>
      </w:r>
      <w:r w:rsidR="00691C42">
        <w:rPr>
          <w:rFonts w:ascii="Times New Roman" w:hAnsi="Times New Roman" w:cs="Times New Roman"/>
          <w:sz w:val="24"/>
          <w:szCs w:val="24"/>
        </w:rPr>
        <w:t xml:space="preserve">etapas </w:t>
      </w:r>
      <w:r w:rsidR="00AA0042">
        <w:rPr>
          <w:rFonts w:ascii="Times New Roman" w:hAnsi="Times New Roman" w:cs="Times New Roman"/>
          <w:sz w:val="24"/>
          <w:szCs w:val="24"/>
        </w:rPr>
        <w:t>de</w:t>
      </w:r>
      <w:r w:rsidR="00A94A4B">
        <w:rPr>
          <w:rFonts w:ascii="Times New Roman" w:hAnsi="Times New Roman" w:cs="Times New Roman"/>
          <w:sz w:val="24"/>
          <w:szCs w:val="24"/>
        </w:rPr>
        <w:t>:</w:t>
      </w:r>
      <w:r w:rsidR="008405EE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AA0042" w:rsidRPr="00003558">
        <w:rPr>
          <w:rFonts w:ascii="Times New Roman" w:hAnsi="Times New Roman" w:cs="Times New Roman"/>
          <w:b/>
          <w:sz w:val="24"/>
          <w:szCs w:val="24"/>
        </w:rPr>
        <w:t>I</w:t>
      </w:r>
      <w:r w:rsidR="008405EE" w:rsidRPr="00003558">
        <w:rPr>
          <w:rFonts w:ascii="Times New Roman" w:hAnsi="Times New Roman" w:cs="Times New Roman"/>
          <w:b/>
          <w:sz w:val="24"/>
          <w:szCs w:val="24"/>
        </w:rPr>
        <w:t xml:space="preserve">dentificación, </w:t>
      </w:r>
      <w:r w:rsidR="00AA0042" w:rsidRPr="00003558">
        <w:rPr>
          <w:rFonts w:ascii="Times New Roman" w:hAnsi="Times New Roman" w:cs="Times New Roman"/>
          <w:b/>
          <w:sz w:val="24"/>
          <w:szCs w:val="24"/>
        </w:rPr>
        <w:t>M</w:t>
      </w:r>
      <w:r w:rsidR="008405EE" w:rsidRPr="00003558">
        <w:rPr>
          <w:rFonts w:ascii="Times New Roman" w:hAnsi="Times New Roman" w:cs="Times New Roman"/>
          <w:b/>
          <w:sz w:val="24"/>
          <w:szCs w:val="24"/>
        </w:rPr>
        <w:t xml:space="preserve">edición, </w:t>
      </w:r>
      <w:r w:rsidR="00AA0042" w:rsidRPr="00003558">
        <w:rPr>
          <w:rFonts w:ascii="Times New Roman" w:hAnsi="Times New Roman" w:cs="Times New Roman"/>
          <w:b/>
          <w:sz w:val="24"/>
          <w:szCs w:val="24"/>
        </w:rPr>
        <w:t>C</w:t>
      </w:r>
      <w:r w:rsidR="0020064A">
        <w:rPr>
          <w:rFonts w:ascii="Times New Roman" w:hAnsi="Times New Roman" w:cs="Times New Roman"/>
          <w:b/>
          <w:sz w:val="24"/>
          <w:szCs w:val="24"/>
        </w:rPr>
        <w:t>ontrol y</w:t>
      </w:r>
      <w:r w:rsidR="008405EE" w:rsidRPr="0000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A5A">
        <w:rPr>
          <w:rFonts w:ascii="Times New Roman" w:hAnsi="Times New Roman" w:cs="Times New Roman"/>
          <w:b/>
          <w:sz w:val="24"/>
          <w:szCs w:val="24"/>
        </w:rPr>
        <w:t>Mitigación</w:t>
      </w:r>
      <w:r w:rsidR="00DA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4A">
        <w:rPr>
          <w:rFonts w:ascii="Times New Roman" w:hAnsi="Times New Roman" w:cs="Times New Roman"/>
          <w:b/>
          <w:sz w:val="24"/>
          <w:szCs w:val="24"/>
        </w:rPr>
        <w:t>,</w:t>
      </w:r>
      <w:r w:rsidR="00000A5A">
        <w:rPr>
          <w:rFonts w:ascii="Times New Roman" w:hAnsi="Times New Roman" w:cs="Times New Roman"/>
          <w:b/>
          <w:sz w:val="24"/>
          <w:szCs w:val="24"/>
        </w:rPr>
        <w:t xml:space="preserve"> Monitoreo</w:t>
      </w:r>
      <w:r w:rsidR="00DA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4A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00A5A">
        <w:rPr>
          <w:rFonts w:ascii="Times New Roman" w:hAnsi="Times New Roman" w:cs="Times New Roman"/>
          <w:b/>
          <w:sz w:val="24"/>
          <w:szCs w:val="24"/>
        </w:rPr>
        <w:t>Comunicación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5EE" w:rsidRPr="00003558">
        <w:rPr>
          <w:rFonts w:ascii="Times New Roman" w:hAnsi="Times New Roman" w:cs="Times New Roman"/>
          <w:b/>
          <w:sz w:val="24"/>
          <w:szCs w:val="24"/>
        </w:rPr>
        <w:t xml:space="preserve">de los </w:t>
      </w:r>
      <w:r w:rsidR="00691C42" w:rsidRPr="00003558">
        <w:rPr>
          <w:rFonts w:ascii="Times New Roman" w:hAnsi="Times New Roman" w:cs="Times New Roman"/>
          <w:b/>
          <w:sz w:val="24"/>
          <w:szCs w:val="24"/>
        </w:rPr>
        <w:t>Riesgos</w:t>
      </w:r>
      <w:r w:rsidR="00691C42">
        <w:rPr>
          <w:rFonts w:ascii="Times New Roman" w:hAnsi="Times New Roman" w:cs="Times New Roman"/>
          <w:sz w:val="24"/>
          <w:szCs w:val="24"/>
        </w:rPr>
        <w:t>,</w:t>
      </w:r>
      <w:r w:rsidR="00691C42" w:rsidRPr="00D14FD0">
        <w:rPr>
          <w:rFonts w:ascii="Times New Roman" w:hAnsi="Times New Roman" w:cs="Times New Roman"/>
          <w:sz w:val="24"/>
          <w:szCs w:val="24"/>
        </w:rPr>
        <w:t xml:space="preserve"> a</w:t>
      </w:r>
      <w:r w:rsidR="002D15FB">
        <w:rPr>
          <w:rFonts w:ascii="Times New Roman" w:hAnsi="Times New Roman" w:cs="Times New Roman"/>
          <w:sz w:val="24"/>
          <w:szCs w:val="24"/>
        </w:rPr>
        <w:t xml:space="preserve"> los </w:t>
      </w:r>
      <w:r w:rsidR="00A94A4B">
        <w:rPr>
          <w:rFonts w:ascii="Times New Roman" w:hAnsi="Times New Roman" w:cs="Times New Roman"/>
          <w:sz w:val="24"/>
          <w:szCs w:val="24"/>
        </w:rPr>
        <w:t xml:space="preserve">que </w:t>
      </w:r>
      <w:r w:rsidR="002D15FB">
        <w:rPr>
          <w:rFonts w:ascii="Times New Roman" w:hAnsi="Times New Roman" w:cs="Times New Roman"/>
          <w:sz w:val="24"/>
          <w:szCs w:val="24"/>
        </w:rPr>
        <w:t xml:space="preserve">está expuesto el IPSFA </w:t>
      </w:r>
      <w:r w:rsidR="00DA53E7">
        <w:rPr>
          <w:rFonts w:ascii="Times New Roman" w:hAnsi="Times New Roman" w:cs="Times New Roman"/>
          <w:sz w:val="24"/>
          <w:szCs w:val="24"/>
        </w:rPr>
        <w:t xml:space="preserve">en el </w:t>
      </w:r>
      <w:r w:rsidR="00AA0042">
        <w:rPr>
          <w:rFonts w:ascii="Times New Roman" w:hAnsi="Times New Roman" w:cs="Times New Roman"/>
          <w:sz w:val="24"/>
          <w:szCs w:val="24"/>
        </w:rPr>
        <w:t>desarrollo de sus actividades</w:t>
      </w:r>
      <w:r w:rsidR="00DA53E7">
        <w:rPr>
          <w:rFonts w:ascii="Times New Roman" w:hAnsi="Times New Roman" w:cs="Times New Roman"/>
          <w:sz w:val="24"/>
          <w:szCs w:val="24"/>
        </w:rPr>
        <w:t>.</w:t>
      </w:r>
      <w:r w:rsidR="00AA0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0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A0042">
        <w:rPr>
          <w:rFonts w:ascii="Times New Roman" w:hAnsi="Times New Roman" w:cs="Times New Roman"/>
          <w:sz w:val="24"/>
          <w:szCs w:val="24"/>
        </w:rPr>
        <w:t xml:space="preserve"> continuación se presenta </w:t>
      </w:r>
      <w:r w:rsidR="00DA53E7">
        <w:rPr>
          <w:rFonts w:ascii="Times New Roman" w:hAnsi="Times New Roman" w:cs="Times New Roman"/>
          <w:sz w:val="24"/>
          <w:szCs w:val="24"/>
        </w:rPr>
        <w:t xml:space="preserve">un breve 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AA0042" w:rsidRPr="00AA0042">
        <w:rPr>
          <w:rFonts w:ascii="Times New Roman" w:hAnsi="Times New Roman" w:cs="Times New Roman"/>
          <w:b/>
          <w:sz w:val="24"/>
          <w:szCs w:val="24"/>
        </w:rPr>
        <w:t>Resumen Ejecutivo</w:t>
      </w:r>
      <w:r w:rsidR="008405EE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20064A">
        <w:rPr>
          <w:rFonts w:ascii="Times New Roman" w:hAnsi="Times New Roman" w:cs="Times New Roman"/>
          <w:sz w:val="24"/>
          <w:szCs w:val="24"/>
        </w:rPr>
        <w:t xml:space="preserve">de todo el proceso </w:t>
      </w:r>
      <w:r w:rsidR="008405EE" w:rsidRPr="00D14FD0">
        <w:rPr>
          <w:rFonts w:ascii="Times New Roman" w:hAnsi="Times New Roman" w:cs="Times New Roman"/>
          <w:sz w:val="24"/>
          <w:szCs w:val="24"/>
        </w:rPr>
        <w:t xml:space="preserve">de acuerdo al </w:t>
      </w:r>
      <w:r w:rsidR="00AA0042">
        <w:rPr>
          <w:rFonts w:ascii="Times New Roman" w:hAnsi="Times New Roman" w:cs="Times New Roman"/>
          <w:sz w:val="24"/>
          <w:szCs w:val="24"/>
        </w:rPr>
        <w:t xml:space="preserve">detalle </w:t>
      </w:r>
      <w:r w:rsidR="008405EE" w:rsidRPr="00D14FD0">
        <w:rPr>
          <w:rFonts w:ascii="Times New Roman" w:hAnsi="Times New Roman" w:cs="Times New Roman"/>
          <w:sz w:val="24"/>
          <w:szCs w:val="24"/>
        </w:rPr>
        <w:t>siguiente</w:t>
      </w:r>
      <w:r w:rsidR="00AA0042">
        <w:rPr>
          <w:rFonts w:ascii="Times New Roman" w:hAnsi="Times New Roman" w:cs="Times New Roman"/>
          <w:sz w:val="24"/>
          <w:szCs w:val="24"/>
        </w:rPr>
        <w:t xml:space="preserve"> :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5B62C6" w:rsidRDefault="00A94A4B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</w:t>
      </w:r>
    </w:p>
    <w:p w:rsidR="00A1571F" w:rsidRPr="00786A14" w:rsidRDefault="00A1571F" w:rsidP="00FB7C64">
      <w:pPr>
        <w:jc w:val="center"/>
        <w:rPr>
          <w:rFonts w:ascii="Britannic Bold" w:hAnsi="Britannic Bold" w:cs="Aharoni"/>
          <w:b/>
          <w:color w:val="C00000"/>
          <w:sz w:val="28"/>
          <w:szCs w:val="28"/>
          <w:lang w:val="es-ES"/>
        </w:rPr>
      </w:pPr>
      <w:r w:rsidRPr="00786A14">
        <w:rPr>
          <w:rFonts w:ascii="Britannic Bold" w:hAnsi="Britannic Bold" w:cs="Aharoni"/>
          <w:b/>
          <w:color w:val="C00000"/>
          <w:sz w:val="28"/>
          <w:szCs w:val="28"/>
          <w:lang w:val="es-ES"/>
        </w:rPr>
        <w:t>CLASIFICACI</w:t>
      </w:r>
      <w:r w:rsidR="00A94A4B" w:rsidRPr="00786A14">
        <w:rPr>
          <w:rFonts w:ascii="Britannic Bold" w:hAnsi="Britannic Bold" w:cs="Aharoni"/>
          <w:b/>
          <w:color w:val="C00000"/>
          <w:sz w:val="28"/>
          <w:szCs w:val="28"/>
          <w:lang w:val="es-ES"/>
        </w:rPr>
        <w:t>Ó</w:t>
      </w:r>
      <w:r w:rsidRPr="00786A14">
        <w:rPr>
          <w:rFonts w:ascii="Britannic Bold" w:hAnsi="Britannic Bold" w:cs="Aharoni"/>
          <w:b/>
          <w:color w:val="C00000"/>
          <w:sz w:val="28"/>
          <w:szCs w:val="28"/>
          <w:lang w:val="es-ES"/>
        </w:rPr>
        <w:t xml:space="preserve">N DE LOS </w:t>
      </w:r>
      <w:r w:rsidR="00FB7C64" w:rsidRPr="00786A14">
        <w:rPr>
          <w:rFonts w:ascii="Britannic Bold" w:hAnsi="Britannic Bold" w:cs="Aharoni"/>
          <w:b/>
          <w:color w:val="C00000"/>
          <w:sz w:val="28"/>
          <w:szCs w:val="28"/>
          <w:lang w:val="es-ES"/>
        </w:rPr>
        <w:t xml:space="preserve">DIFERENTES </w:t>
      </w:r>
      <w:r w:rsidR="0020064A" w:rsidRPr="00786A14">
        <w:rPr>
          <w:rFonts w:ascii="Britannic Bold" w:hAnsi="Britannic Bold" w:cs="Aharoni"/>
          <w:b/>
          <w:color w:val="C00000"/>
          <w:sz w:val="28"/>
          <w:szCs w:val="28"/>
          <w:lang w:val="es-ES"/>
        </w:rPr>
        <w:t xml:space="preserve">TIPOS DE </w:t>
      </w:r>
      <w:r w:rsidRPr="00786A14">
        <w:rPr>
          <w:rFonts w:ascii="Britannic Bold" w:hAnsi="Britannic Bold" w:cs="Aharoni"/>
          <w:b/>
          <w:color w:val="C00000"/>
          <w:sz w:val="28"/>
          <w:szCs w:val="28"/>
          <w:lang w:val="es-ES"/>
        </w:rPr>
        <w:t>RIESGOS</w:t>
      </w:r>
    </w:p>
    <w:p w:rsidR="00AE0E55" w:rsidRDefault="0006388D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19B9A5" wp14:editId="5AF3ADE1">
                <wp:simplePos x="0" y="0"/>
                <wp:positionH relativeFrom="column">
                  <wp:posOffset>128270</wp:posOffset>
                </wp:positionH>
                <wp:positionV relativeFrom="paragraph">
                  <wp:posOffset>130175</wp:posOffset>
                </wp:positionV>
                <wp:extent cx="5894705" cy="2142490"/>
                <wp:effectExtent l="76200" t="38100" r="86995" b="105410"/>
                <wp:wrapNone/>
                <wp:docPr id="4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4705" cy="2142490"/>
                          <a:chOff x="1508981" y="973054"/>
                          <a:chExt cx="6540347" cy="495783"/>
                        </a:xfrm>
                      </wpg:grpSpPr>
                      <wps:wsp>
                        <wps:cNvPr id="5" name="7 Elipse"/>
                        <wps:cNvSpPr/>
                        <wps:spPr bwMode="auto">
                          <a:xfrm>
                            <a:off x="1508981" y="990687"/>
                            <a:ext cx="1701491" cy="222618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txbx>
                          <w:txbxContent>
                            <w:p w:rsidR="009B1F4D" w:rsidRDefault="009B1F4D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iCs/>
                                  <w:color w:val="EEECE1" w:themeColor="background2"/>
                                  <w:kern w:val="24"/>
                                  <w:position w:val="1"/>
                                </w:rPr>
                              </w:pPr>
                            </w:p>
                            <w:p w:rsidR="00760DE7" w:rsidRPr="00501238" w:rsidRDefault="00760DE7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  <w:b/>
                                </w:rPr>
                              </w:pPr>
                              <w:r w:rsidRPr="00501238"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  <w:t>Mercado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6 Elipse"/>
                        <wps:cNvSpPr/>
                        <wps:spPr bwMode="auto">
                          <a:xfrm>
                            <a:off x="6095608" y="973054"/>
                            <a:ext cx="1953720" cy="240251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txbx>
                          <w:txbxContent>
                            <w:p w:rsidR="00760DE7" w:rsidRDefault="00760DE7" w:rsidP="00AF107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iCs/>
                                  <w:color w:val="EEECE1" w:themeColor="background2"/>
                                  <w:kern w:val="24"/>
                                  <w:position w:val="1"/>
                                  <w:sz w:val="20"/>
                                  <w:szCs w:val="20"/>
                                </w:rPr>
                              </w:pPr>
                            </w:p>
                            <w:p w:rsidR="00760DE7" w:rsidRPr="00501238" w:rsidRDefault="00760DE7" w:rsidP="00AF107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  <w:r w:rsidRPr="00501238"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  <w:sz w:val="22"/>
                                  <w:szCs w:val="22"/>
                                </w:rPr>
                                <w:t>Reputaciona</w:t>
                              </w:r>
                              <w:r w:rsidR="00501238"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7 Elipse"/>
                        <wps:cNvSpPr/>
                        <wps:spPr bwMode="auto">
                          <a:xfrm>
                            <a:off x="2500778" y="1132044"/>
                            <a:ext cx="1692542" cy="21162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txbx>
                          <w:txbxContent>
                            <w:p w:rsidR="009B1F4D" w:rsidRDefault="009B1F4D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iCs/>
                                  <w:color w:val="EEECE1" w:themeColor="background2"/>
                                  <w:kern w:val="24"/>
                                  <w:position w:val="1"/>
                                </w:rPr>
                              </w:pPr>
                            </w:p>
                            <w:p w:rsidR="00760DE7" w:rsidRPr="00501238" w:rsidRDefault="00760DE7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/>
                                </w:rPr>
                              </w:pPr>
                              <w:r w:rsidRPr="00501238"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  <w:t>Liquidez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3 Elipse"/>
                        <wps:cNvSpPr/>
                        <wps:spPr bwMode="auto">
                          <a:xfrm>
                            <a:off x="5302987" y="1132044"/>
                            <a:ext cx="1680351" cy="24657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txbx>
                          <w:txbxContent>
                            <w:p w:rsidR="00760DE7" w:rsidRDefault="00760DE7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EEECE1" w:themeColor="background2"/>
                                  <w:kern w:val="24"/>
                                  <w:position w:val="1"/>
                                  <w:sz w:val="28"/>
                                  <w:szCs w:val="28"/>
                                </w:rPr>
                              </w:pPr>
                            </w:p>
                            <w:p w:rsidR="00760DE7" w:rsidRPr="00501238" w:rsidRDefault="00760DE7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</w:pPr>
                              <w:r w:rsidRPr="00501238"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  <w:t>Crédito</w:t>
                              </w:r>
                            </w:p>
                            <w:p w:rsidR="00760DE7" w:rsidRDefault="00760DE7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i/>
                                  <w:iCs/>
                                  <w:color w:val="EEECE1" w:themeColor="background2"/>
                                  <w:kern w:val="24"/>
                                  <w:position w:val="1"/>
                                  <w:sz w:val="28"/>
                                  <w:szCs w:val="28"/>
                                </w:rPr>
                              </w:pPr>
                            </w:p>
                            <w:p w:rsidR="00760DE7" w:rsidRPr="00FF1FA9" w:rsidRDefault="00760DE7" w:rsidP="00A1571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5 Elipse"/>
                        <wps:cNvSpPr/>
                        <wps:spPr bwMode="auto">
                          <a:xfrm>
                            <a:off x="3770588" y="1241958"/>
                            <a:ext cx="1891720" cy="22687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  <a:headEnd type="none" w="med" len="med"/>
                            <a:tailEnd type="none" w="med" len="me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  <a:extLst/>
                        </wps:spPr>
                        <wps:txbx>
                          <w:txbxContent>
                            <w:p w:rsidR="00501238" w:rsidRDefault="00501238" w:rsidP="0050123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</w:pPr>
                            </w:p>
                            <w:p w:rsidR="00760DE7" w:rsidRPr="00501238" w:rsidRDefault="00501238" w:rsidP="00501238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  <w:t>Operacion</w:t>
                              </w:r>
                              <w:r w:rsidRPr="00501238">
                                <w:rPr>
                                  <w:rFonts w:ascii="Arial Black" w:hAnsi="Arial Black" w:cstheme="minorBidi"/>
                                  <w:b/>
                                  <w:bCs/>
                                  <w:iCs/>
                                  <w:kern w:val="24"/>
                                  <w:position w:val="1"/>
                                </w:rPr>
                                <w:t>al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 Grupo" o:spid="_x0000_s1026" style="position:absolute;left:0;text-align:left;margin-left:10.1pt;margin-top:10.25pt;width:464.15pt;height:168.7pt;z-index:251667456;mso-width-relative:margin;mso-height-relative:margin" coordorigin="15089,9730" coordsize="65403,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OcogQAACQZAAAOAAAAZHJzL2Uyb0RvYy54bWzsWUtv4zYQvhfofyB0b0y9LSHOAs3GQYHt&#10;Ntik2DMt0ZZQSmRJ+pH99Z0hJdtJ+kgT91TnYJPmaDTzzczHIXP5YdcJsuHatLKfBeEFDQjvK1m3&#10;/WoW/Pow/2EaEGNZXzMhez4LHrkJPlx9/93lVpU8ko0UNdcElPSm3KpZ0FirysnEVA3vmLmQivew&#10;uJS6YxamejWpNduC9k5MIkqzyVbqWmlZcWPg149+Mbhy+pdLXtlflkvDLRGzAGyz7lO7zwV+Tq4u&#10;WbnSTDVtNZjB3mBFx9oeXrpX9ZFZRta6faGqaystjVzai0p2E7lcthV3PoA3IX3mza2Wa+V8WZXb&#10;ldrDBNA+w+nNaqvPmztN2noWJAHpWQchKsitXiuJ0GzVqgSJW63u1Z32/sHwk6x+M7A8eb6O89VB&#10;eLfUHT4EbpKdw/xxjznfWVLBj+m0SHKaBqSCtShMoqQYolI1EDp8LkzptJiGAQGJIo9pmviwVc3N&#10;oCRLExonuVeSFGk+jVFkwkpvgjN0b9hWQa6ZA5zmfXDeN0xxFyWDYA1wgkcezpzciFYZ7vF0Igim&#10;Q9eUBoZksf1Z1oA8W1vpsugZcE8AKGg2zT0AI4ZhTsOkAIAchlGUhdMn7rNSaWNvuewIDmYBF94k&#10;DA7bfDLWgzVK4c9Giraet0K4iV4troUmG4ZlRHN67WIE+D4REz0K9xIfA42sbDirb/qa2EcF7vXA&#10;AAHZzoKO1wERHAgDR07Ssla8RhJe6d/CXXGD6fgeubZc3zf1lizEWn9hmM4U/gJSt+hvFA8TqHxI&#10;Fb+kpf3a2saFD9PyTxx1gvg7E6ph3v04RV0eMONxcZm2t8HNnphnKt7zuEZFFZSYZkMYpLaNHMhn&#10;rmVvnQ1gFxEMrAbzgTTdt+Yb/PZv9TpQm2hXjf3SrohugRNsozm/s+g0+PkPykJgz4MjoyJn+5G5&#10;RnmzF3zDxQPGLkP/A9IAqIjkCMQgBxk5ZBMWGSY3kogp7W6xA+NxuJD1I+Q87BngYiP1N0gJ4N9Z&#10;YH5fMw0JIn7qoSKLMEmQsN0kSfMIJvp4ZXG80q+7awm5CTWgrXBDkGd9BS9AKIbhtYUZLAD3KmY/&#10;9feqwmcQSsz9h91XptUQHAu+fJZjcb+oEy8LeB18GiZALd7T/5xjspFjsvdzTEaLNKOwWz8j2T3H&#10;FGnsguA4JqFRGg6xH8lqZI+3cgxu+XzPMqyCorGZi41Yd0CQvvyw+vZZNz7i0/aYsc5UhHTocDlT&#10;0Qsqcg2Py99D9Z4Z6V81kSMxIoCHrgdasJN1PRGUep57RgrDOKLJ0PftKSkrYA+KxtYxzKKnXd9p&#10;2575/Jh5zlwjYGuHbuzc9kDz8Hdtj+OaCPfKM9ccDvYn4BpgBs818fu7nzSmUQHHKux+/oJrpjSG&#10;lscfsZIszccm5FTtz/ERaz6/Pupyzlxz5ho4ab/iiOW4xm2CZ645KdeEcGj0ZJO+n2ziHC68pkNj&#10;EyVhkbrrGreNuDuxcFqEh7NWBPc9xYnPWsdkQ+mPNB3Z7HyfAyfQc2PzarJxLfn/h2zcRTJcxbsM&#10;GW7u8K7/eA7j439uXP0BAAD//wMAUEsDBBQABgAIAAAAIQA89fUN4AAAAAkBAAAPAAAAZHJzL2Rv&#10;d25yZXYueG1sTI9BS8NAEIXvgv9hGcGb3SQ12sZsSinqqQi2gnibZqdJaHY2ZLdJ+u/dnvQ0M7zH&#10;m+/lq8m0YqDeNZYVxLMIBHFpdcOVgq/928MChPPIGlvLpOBCDlbF7U2OmbYjf9Kw85UIIewyVFB7&#10;32VSurImg25mO+KgHW1v0Iezr6TucQzhppVJFD1Jgw2HDzV2tKmpPO3ORsH7iON6Hr8O29Nxc/nZ&#10;px/f25iUur+b1i8gPE3+zwxX/IAORWA62DNrJ1oFSZQE53WmIIK+fFyE5aBgnj4vQRa5/N+g+AUA&#10;AP//AwBQSwECLQAUAAYACAAAACEAtoM4kv4AAADhAQAAEwAAAAAAAAAAAAAAAAAAAAAAW0NvbnRl&#10;bnRfVHlwZXNdLnhtbFBLAQItABQABgAIAAAAIQA4/SH/1gAAAJQBAAALAAAAAAAAAAAAAAAAAC8B&#10;AABfcmVscy8ucmVsc1BLAQItABQABgAIAAAAIQBtGyOcogQAACQZAAAOAAAAAAAAAAAAAAAAAC4C&#10;AABkcnMvZTJvRG9jLnhtbFBLAQItABQABgAIAAAAIQA89fUN4AAAAAkBAAAPAAAAAAAAAAAAAAAA&#10;APwGAABkcnMvZG93bnJldi54bWxQSwUGAAAAAAQABADzAAAACQgAAAAA&#10;">
                <v:oval id="7 Elipse" o:spid="_x0000_s1027" style="position:absolute;left:15089;top:9906;width:17015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yqcQA&#10;AADaAAAADwAAAGRycy9kb3ducmV2LnhtbESPQWvCQBSE7wX/w/IEL0U3FawSXUUsVW/FqOjxmX0m&#10;wezbNLua9N93CwWPw8x8w8wWrSnFg2pXWFbwNohAEKdWF5wpOOw/+xMQziNrLC2Tgh9ysJh3XmYY&#10;a9vwjh6Jz0SAsItRQe59FUvp0pwMuoGtiIN3tbVBH2SdSV1jE+CmlMMoepcGCw4LOVa0yim9JXej&#10;IEma1fbjPnqNLs33cdyeN2v/dVKq122XUxCeWv8M/7e3WsEI/q6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cqnEAAAA2gAAAA8AAAAAAAAAAAAAAAAAmAIAAGRycy9k&#10;b3ducmV2LnhtbFBLBQYAAAAABAAEAPUAAACJAwAAAAA=&#10;" fillcolor="#0070c0" stroked="f">
                  <v:shadow on="t" color="black" opacity="22937f" origin=",.5" offset="0,.63889mm"/>
                  <v:textbox>
                    <w:txbxContent>
                      <w:p w:rsidR="009B1F4D" w:rsidRDefault="009B1F4D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iCs/>
                            <w:color w:val="EEECE1" w:themeColor="background2"/>
                            <w:kern w:val="24"/>
                            <w:position w:val="1"/>
                          </w:rPr>
                        </w:pPr>
                      </w:p>
                      <w:p w:rsidR="00760DE7" w:rsidRPr="00501238" w:rsidRDefault="00760DE7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  <w:b/>
                          </w:rPr>
                        </w:pPr>
                        <w:r w:rsidRPr="00501238"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  <w:t>Mercado</w:t>
                        </w:r>
                      </w:p>
                    </w:txbxContent>
                  </v:textbox>
                </v:oval>
                <v:oval id="6 Elipse" o:spid="_x0000_s1028" style="position:absolute;left:60956;top:9730;width:19537;height:2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3pcEA&#10;AADaAAAADwAAAGRycy9kb3ducmV2LnhtbESPzWrDMBCE74G+g9hCb7HcHExwrYT+ENJeAk76AIu1&#10;sU2tlbE2jvr2VSGQ4zDzzTDVNrpBzTSF3rOB5ywHRdx423Nr4Pu0W65BBUG2OHgmA78UYLt5WFRY&#10;Wn/lmuajtCqVcCjRQCcyllqHpiOHIfMjcfLOfnIoSU6tthNeU7kb9CrPC+2w57TQ4UjvHTU/x4sz&#10;kAA5799m18pXw3H8qHeHVTTm6TG+voASinIP3+hPa6CA/yvpBu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N6XBAAAA2gAAAA8AAAAAAAAAAAAAAAAAmAIAAGRycy9kb3du&#10;cmV2LnhtbFBLBQYAAAAABAAEAPUAAACGAwAAAAA=&#10;" fillcolor="#974706 [1609]" stroked="f">
                  <v:shadow on="t" color="black" opacity="22937f" origin=",.5" offset="0,.63889mm"/>
                  <v:textbox>
                    <w:txbxContent>
                      <w:p w:rsidR="00760DE7" w:rsidRDefault="00760DE7" w:rsidP="00AF107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iCs/>
                            <w:color w:val="EEECE1" w:themeColor="background2"/>
                            <w:kern w:val="24"/>
                            <w:position w:val="1"/>
                            <w:sz w:val="20"/>
                            <w:szCs w:val="20"/>
                          </w:rPr>
                        </w:pPr>
                      </w:p>
                      <w:p w:rsidR="00760DE7" w:rsidRPr="00501238" w:rsidRDefault="00760DE7" w:rsidP="00AF107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  <w:r w:rsidRPr="00501238"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  <w:sz w:val="22"/>
                            <w:szCs w:val="22"/>
                          </w:rPr>
                          <w:t>Reputaciona</w:t>
                        </w:r>
                        <w:r w:rsidR="00501238"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oval>
                <v:oval id="7 Elipse" o:spid="_x0000_s1029" style="position:absolute;left:25007;top:11320;width:16926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7SMAA&#10;AADaAAAADwAAAGRycy9kb3ducmV2LnhtbESPQWsCMRSE7wX/Q3iCt5qth1ZWo1RB6kmoil4f+143&#10;Szcvyybq6q83guBxmJlvmOm8c7U6cxsqLwY+hhkolsJTJaWB/W71PgYVIgph7YUNXDnAfNZ7m2JO&#10;/iK/fN7GUiWIhBwN2BibXOtQWHYYhr5hSd6fbx3GJNtSU4uXBHe1HmXZp3ZYSVqw2PDScvG/PTkD&#10;fFhYckLH2w9tNuPlwp80rY0Z9LvvCajIXXyFn+01GfiCx5V0A/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H7SMAAAADaAAAADwAAAAAAAAAAAAAAAACYAgAAZHJzL2Rvd25y&#10;ZXYueG1sUEsFBgAAAAAEAAQA9QAAAIUDAAAAAA==&#10;" fillcolor="red" stroked="f">
                  <v:shadow on="t" color="black" opacity="22937f" origin=",.5" offset="0,.63889mm"/>
                  <v:textbox>
                    <w:txbxContent>
                      <w:p w:rsidR="009B1F4D" w:rsidRDefault="009B1F4D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iCs/>
                            <w:color w:val="EEECE1" w:themeColor="background2"/>
                            <w:kern w:val="24"/>
                            <w:position w:val="1"/>
                          </w:rPr>
                        </w:pPr>
                      </w:p>
                      <w:p w:rsidR="00760DE7" w:rsidRPr="00501238" w:rsidRDefault="00760DE7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/>
                          </w:rPr>
                        </w:pPr>
                        <w:r w:rsidRPr="00501238"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  <w:t>Liquidez</w:t>
                        </w:r>
                      </w:p>
                    </w:txbxContent>
                  </v:textbox>
                </v:oval>
                <v:oval id="3 Elipse" o:spid="_x0000_s1030" style="position:absolute;left:53029;top:11320;width:16804;height:2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9q74A&#10;AADaAAAADwAAAGRycy9kb3ducmV2LnhtbERPy4rCMBTdC/MP4Q64s6kiIh2jWGHAhRtfi9ldmjtN&#10;meamk8Ra/94sBJeH815tBtuKnnxoHCuYZjkI4srphmsFl/P3ZAkiRGSNrWNS8KAAm/XHaIWFdnc+&#10;Un+KtUghHApUYGLsCilDZchiyFxHnLhf5y3GBH0ttcd7CretnOX5QlpsODUY7GhnqPo73ayCXd/7&#10;eVk9mp95jeFQ7kv6vxqlxp/D9gtEpCG+xS/3XitIW9OVd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2fau+AAAA2gAAAA8AAAAAAAAAAAAAAAAAmAIAAGRycy9kb3ducmV2&#10;LnhtbFBLBQYAAAAABAAEAPUAAACDAwAAAAA=&#10;" fillcolor="#ffc000" stroked="f">
                  <v:shadow on="t" color="black" opacity="22937f" origin=",.5" offset="0,.63889mm"/>
                  <v:textbox>
                    <w:txbxContent>
                      <w:p w:rsidR="00760DE7" w:rsidRDefault="00760DE7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EEECE1" w:themeColor="background2"/>
                            <w:kern w:val="24"/>
                            <w:position w:val="1"/>
                            <w:sz w:val="28"/>
                            <w:szCs w:val="28"/>
                          </w:rPr>
                        </w:pPr>
                      </w:p>
                      <w:p w:rsidR="00760DE7" w:rsidRPr="00501238" w:rsidRDefault="00760DE7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</w:pPr>
                        <w:r w:rsidRPr="00501238"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  <w:t>Crédito</w:t>
                        </w:r>
                      </w:p>
                      <w:p w:rsidR="00760DE7" w:rsidRDefault="00760DE7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b/>
                            <w:bCs/>
                            <w:i/>
                            <w:iCs/>
                            <w:color w:val="EEECE1" w:themeColor="background2"/>
                            <w:kern w:val="24"/>
                            <w:position w:val="1"/>
                            <w:sz w:val="28"/>
                            <w:szCs w:val="28"/>
                          </w:rPr>
                        </w:pPr>
                      </w:p>
                      <w:p w:rsidR="00760DE7" w:rsidRPr="00FF1FA9" w:rsidRDefault="00760DE7" w:rsidP="00A1571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5 Elipse" o:spid="_x0000_s1031" style="position:absolute;left:37705;top:12419;width:18918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t5cQA&#10;AADbAAAADwAAAGRycy9kb3ducmV2LnhtbESPzW4CMQyE75V4h8iVeitZOKCyEBAqQuICorQHju7G&#10;7E83zmoTlvTt60MlbrZmPPN5uU6uVQP1ofZsYDLOQBEX3tZcGvj63L2+gQoR2WLrmQz8UoD1avS0&#10;xNz6O3/QcI6lkhAOORqoYuxyrUNRkcMw9h2xaFffO4yy9qW2Pd4l3LV6mmUz7bBmaaiwo/eKip/z&#10;zRn4vqbN9jQfwuSUXHNsmkN5OUZjXp7TZgEqUooP8//13gq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hLeXEAAAA2wAAAA8AAAAAAAAAAAAAAAAAmAIAAGRycy9k&#10;b3ducmV2LnhtbFBLBQYAAAAABAAEAPUAAACJAwAAAAA=&#10;" fillcolor="#00b050" stroked="f">
                  <v:shadow on="t" color="black" opacity="22937f" origin=",.5" offset="0,.63889mm"/>
                  <v:textbox>
                    <w:txbxContent>
                      <w:p w:rsidR="00501238" w:rsidRDefault="00501238" w:rsidP="0050123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</w:pPr>
                      </w:p>
                      <w:p w:rsidR="00760DE7" w:rsidRPr="00501238" w:rsidRDefault="00501238" w:rsidP="00501238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  <w:t>Operacion</w:t>
                        </w:r>
                        <w:r w:rsidRPr="00501238">
                          <w:rPr>
                            <w:rFonts w:ascii="Arial Black" w:hAnsi="Arial Black" w:cstheme="minorBidi"/>
                            <w:b/>
                            <w:bCs/>
                            <w:iCs/>
                            <w:kern w:val="24"/>
                            <w:position w:val="1"/>
                          </w:rPr>
                          <w:t>al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B62C6" w:rsidRDefault="005B62C6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B62C6" w:rsidRDefault="005B62C6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B62C6" w:rsidRPr="00033337" w:rsidRDefault="005B62C6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05A9D" w:rsidRPr="00D14FD0" w:rsidRDefault="00A94A4B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033337" w:rsidRPr="00D14FD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405A9D" w:rsidRDefault="00405A9D" w:rsidP="00A6611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91937" w:rsidRDefault="00F91937" w:rsidP="00A6611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6611C" w:rsidRDefault="00A6611C" w:rsidP="00A6611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1537C" w:rsidRPr="004578EC" w:rsidRDefault="004578EC" w:rsidP="00A6611C">
      <w:pPr>
        <w:jc w:val="both"/>
        <w:rPr>
          <w:b/>
          <w:sz w:val="24"/>
          <w:szCs w:val="24"/>
          <w:lang w:val="es-ES"/>
        </w:rPr>
      </w:pPr>
      <w:r w:rsidRPr="008C5028">
        <w:rPr>
          <w:rFonts w:ascii="Times New Roman" w:hAnsi="Times New Roman" w:cs="Times New Roman"/>
          <w:b/>
          <w:sz w:val="28"/>
          <w:szCs w:val="28"/>
          <w:lang w:val="es-ES"/>
        </w:rPr>
        <w:t>A-</w:t>
      </w:r>
      <w:r w:rsidR="00C1537C" w:rsidRPr="008C5028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bookmarkStart w:id="1" w:name="_Toc348706079"/>
      <w:bookmarkStart w:id="2" w:name="_Toc349037683"/>
      <w:bookmarkStart w:id="3" w:name="_Toc349050598"/>
      <w:bookmarkStart w:id="4" w:name="_Toc348706075"/>
      <w:bookmarkStart w:id="5" w:name="_Toc349037679"/>
      <w:bookmarkStart w:id="6" w:name="_Toc349050594"/>
      <w:r w:rsidR="00C1537C" w:rsidRPr="008C5028">
        <w:rPr>
          <w:rFonts w:ascii="Times New Roman" w:hAnsi="Times New Roman" w:cs="Times New Roman"/>
          <w:b/>
          <w:sz w:val="28"/>
          <w:szCs w:val="28"/>
          <w:lang w:val="es-ES"/>
        </w:rPr>
        <w:t xml:space="preserve">Riesgo </w:t>
      </w:r>
      <w:bookmarkEnd w:id="1"/>
      <w:bookmarkEnd w:id="2"/>
      <w:bookmarkEnd w:id="3"/>
      <w:r w:rsidR="001728C9" w:rsidRPr="008C5028">
        <w:rPr>
          <w:rFonts w:ascii="Times New Roman" w:hAnsi="Times New Roman" w:cs="Times New Roman"/>
          <w:b/>
          <w:sz w:val="28"/>
          <w:szCs w:val="28"/>
          <w:lang w:val="es-ES"/>
        </w:rPr>
        <w:t>Operacional</w:t>
      </w:r>
      <w:r w:rsidR="001728C9" w:rsidRPr="008A26C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405A9D" w:rsidRPr="009D03CD" w:rsidRDefault="00405A9D" w:rsidP="00A66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>E</w:t>
      </w:r>
      <w:r w:rsidR="00AF1075">
        <w:rPr>
          <w:rFonts w:ascii="Times New Roman" w:hAnsi="Times New Roman" w:cs="Times New Roman"/>
          <w:sz w:val="24"/>
          <w:szCs w:val="24"/>
        </w:rPr>
        <w:t>ste Rie</w:t>
      </w:r>
      <w:r w:rsidR="00FB7C64">
        <w:rPr>
          <w:rFonts w:ascii="Times New Roman" w:hAnsi="Times New Roman" w:cs="Times New Roman"/>
          <w:sz w:val="24"/>
          <w:szCs w:val="24"/>
        </w:rPr>
        <w:t xml:space="preserve">sgo </w:t>
      </w:r>
      <w:r w:rsidRPr="00D14FD0">
        <w:rPr>
          <w:rFonts w:ascii="Times New Roman" w:hAnsi="Times New Roman" w:cs="Times New Roman"/>
          <w:sz w:val="24"/>
          <w:szCs w:val="24"/>
        </w:rPr>
        <w:t>consiste en la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</w:rPr>
        <w:t>posibilidad de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</w:rPr>
        <w:t xml:space="preserve">incurrir en pérdidas como resultado de las deficiencias o fallas de los procesos internos, recursos humanos, sistemas de </w:t>
      </w:r>
      <w:r w:rsidR="002D15FB" w:rsidRPr="00D14FD0">
        <w:rPr>
          <w:rFonts w:ascii="Times New Roman" w:hAnsi="Times New Roman" w:cs="Times New Roman"/>
          <w:sz w:val="24"/>
          <w:szCs w:val="24"/>
        </w:rPr>
        <w:t>información</w:t>
      </w:r>
      <w:r w:rsidR="002D15FB">
        <w:rPr>
          <w:rFonts w:ascii="Times New Roman" w:hAnsi="Times New Roman" w:cs="Times New Roman"/>
          <w:sz w:val="24"/>
          <w:szCs w:val="24"/>
        </w:rPr>
        <w:t xml:space="preserve"> (Tecnológicos)</w:t>
      </w:r>
      <w:r w:rsidRPr="00D14FD0">
        <w:rPr>
          <w:rFonts w:ascii="Times New Roman" w:hAnsi="Times New Roman" w:cs="Times New Roman"/>
          <w:sz w:val="24"/>
          <w:szCs w:val="24"/>
        </w:rPr>
        <w:t xml:space="preserve"> o por causa de acontecimientos externos; para la </w:t>
      </w:r>
      <w:r w:rsidR="00A94A4B">
        <w:rPr>
          <w:rFonts w:ascii="Times New Roman" w:hAnsi="Times New Roman" w:cs="Times New Roman"/>
          <w:sz w:val="24"/>
          <w:szCs w:val="24"/>
        </w:rPr>
        <w:t>i</w:t>
      </w:r>
      <w:r w:rsidR="002D15FB">
        <w:rPr>
          <w:rFonts w:ascii="Times New Roman" w:hAnsi="Times New Roman" w:cs="Times New Roman"/>
          <w:sz w:val="24"/>
          <w:szCs w:val="24"/>
        </w:rPr>
        <w:t>dentificación</w:t>
      </w:r>
      <w:r w:rsidRPr="00D14FD0">
        <w:rPr>
          <w:rFonts w:ascii="Times New Roman" w:hAnsi="Times New Roman" w:cs="Times New Roman"/>
          <w:sz w:val="24"/>
          <w:szCs w:val="24"/>
        </w:rPr>
        <w:t xml:space="preserve"> de</w:t>
      </w:r>
      <w:r w:rsidR="00397089">
        <w:rPr>
          <w:rFonts w:ascii="Times New Roman" w:hAnsi="Times New Roman" w:cs="Times New Roman"/>
          <w:sz w:val="24"/>
          <w:szCs w:val="24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</w:rPr>
        <w:t xml:space="preserve">los riesgos se </w:t>
      </w:r>
      <w:r w:rsidR="00FA11EF" w:rsidRPr="00D14FD0">
        <w:rPr>
          <w:rFonts w:ascii="Times New Roman" w:hAnsi="Times New Roman" w:cs="Times New Roman"/>
          <w:sz w:val="24"/>
          <w:szCs w:val="24"/>
        </w:rPr>
        <w:t>tom</w:t>
      </w:r>
      <w:r w:rsidR="00A94A4B">
        <w:rPr>
          <w:rFonts w:ascii="Times New Roman" w:hAnsi="Times New Roman" w:cs="Times New Roman"/>
          <w:sz w:val="24"/>
          <w:szCs w:val="24"/>
        </w:rPr>
        <w:t>aron</w:t>
      </w:r>
      <w:r w:rsidRPr="00D14FD0">
        <w:rPr>
          <w:rFonts w:ascii="Times New Roman" w:hAnsi="Times New Roman" w:cs="Times New Roman"/>
          <w:sz w:val="24"/>
          <w:szCs w:val="24"/>
        </w:rPr>
        <w:t xml:space="preserve"> en cue</w:t>
      </w:r>
      <w:r w:rsidR="002D15FB">
        <w:rPr>
          <w:rFonts w:ascii="Times New Roman" w:hAnsi="Times New Roman" w:cs="Times New Roman"/>
          <w:sz w:val="24"/>
          <w:szCs w:val="24"/>
        </w:rPr>
        <w:t xml:space="preserve">nta </w:t>
      </w:r>
      <w:r w:rsidR="00386E36">
        <w:rPr>
          <w:rFonts w:ascii="Times New Roman" w:hAnsi="Times New Roman" w:cs="Times New Roman"/>
          <w:sz w:val="24"/>
          <w:szCs w:val="24"/>
        </w:rPr>
        <w:t xml:space="preserve">aquellos considerados </w:t>
      </w:r>
      <w:r w:rsidR="009D03CD">
        <w:rPr>
          <w:rFonts w:ascii="Times New Roman" w:hAnsi="Times New Roman" w:cs="Times New Roman"/>
          <w:sz w:val="24"/>
          <w:szCs w:val="24"/>
        </w:rPr>
        <w:t xml:space="preserve"> por las </w:t>
      </w:r>
      <w:r w:rsidR="002D15FB">
        <w:rPr>
          <w:rFonts w:ascii="Times New Roman" w:hAnsi="Times New Roman" w:cs="Times New Roman"/>
          <w:sz w:val="24"/>
          <w:szCs w:val="24"/>
        </w:rPr>
        <w:t>diferentes</w:t>
      </w:r>
      <w:r w:rsidR="009D03CD">
        <w:rPr>
          <w:rFonts w:ascii="Times New Roman" w:hAnsi="Times New Roman" w:cs="Times New Roman"/>
          <w:sz w:val="24"/>
          <w:szCs w:val="24"/>
        </w:rPr>
        <w:t xml:space="preserve"> jefaturas y los </w:t>
      </w:r>
      <w:r w:rsidR="002D15FB">
        <w:rPr>
          <w:rFonts w:ascii="Times New Roman" w:hAnsi="Times New Roman" w:cs="Times New Roman"/>
          <w:sz w:val="24"/>
          <w:szCs w:val="24"/>
        </w:rPr>
        <w:t xml:space="preserve"> procesos</w:t>
      </w:r>
      <w:r w:rsidR="0009700E">
        <w:rPr>
          <w:rFonts w:ascii="Times New Roman" w:hAnsi="Times New Roman" w:cs="Times New Roman"/>
          <w:sz w:val="24"/>
          <w:szCs w:val="24"/>
        </w:rPr>
        <w:t xml:space="preserve"> </w:t>
      </w:r>
      <w:r w:rsidR="00A85834">
        <w:rPr>
          <w:rFonts w:ascii="Times New Roman" w:hAnsi="Times New Roman" w:cs="Times New Roman"/>
          <w:sz w:val="24"/>
          <w:szCs w:val="24"/>
        </w:rPr>
        <w:t>institucionales</w:t>
      </w:r>
      <w:r w:rsidR="00A85834" w:rsidRPr="00D14FD0">
        <w:rPr>
          <w:rFonts w:ascii="Times New Roman" w:hAnsi="Times New Roman" w:cs="Times New Roman"/>
          <w:sz w:val="24"/>
          <w:szCs w:val="24"/>
        </w:rPr>
        <w:t>, al</w:t>
      </w:r>
      <w:r w:rsidR="00077514">
        <w:rPr>
          <w:rFonts w:ascii="Times New Roman" w:hAnsi="Times New Roman" w:cs="Times New Roman"/>
          <w:sz w:val="24"/>
          <w:szCs w:val="24"/>
        </w:rPr>
        <w:t xml:space="preserve"> mismo tiempo </w:t>
      </w:r>
      <w:r w:rsidR="00A94A4B">
        <w:rPr>
          <w:rFonts w:ascii="Times New Roman" w:hAnsi="Times New Roman" w:cs="Times New Roman"/>
          <w:sz w:val="24"/>
          <w:szCs w:val="24"/>
        </w:rPr>
        <w:t xml:space="preserve">se consideraron </w:t>
      </w:r>
      <w:r w:rsidRPr="00D14FD0">
        <w:rPr>
          <w:rFonts w:ascii="Times New Roman" w:hAnsi="Times New Roman" w:cs="Times New Roman"/>
          <w:sz w:val="24"/>
          <w:szCs w:val="24"/>
        </w:rPr>
        <w:t xml:space="preserve">los siguientes </w:t>
      </w:r>
      <w:r w:rsidRPr="009D03CD">
        <w:rPr>
          <w:rFonts w:ascii="Times New Roman" w:hAnsi="Times New Roman" w:cs="Times New Roman"/>
          <w:b/>
          <w:sz w:val="24"/>
          <w:szCs w:val="24"/>
        </w:rPr>
        <w:t>factores de riesgo: procesos, personas, tecnología de información</w:t>
      </w:r>
      <w:r w:rsidR="009D0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3CD">
        <w:rPr>
          <w:rFonts w:ascii="Times New Roman" w:hAnsi="Times New Roman" w:cs="Times New Roman"/>
          <w:b/>
          <w:sz w:val="24"/>
          <w:szCs w:val="24"/>
        </w:rPr>
        <w:t xml:space="preserve"> y acontecimientos externos.</w:t>
      </w:r>
    </w:p>
    <w:p w:rsidR="00C7638D" w:rsidRDefault="00C7638D" w:rsidP="00A66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38D" w:rsidRPr="00D14FD0" w:rsidRDefault="00C7638D" w:rsidP="00A66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9D" w:rsidRPr="00D14FD0" w:rsidRDefault="00EA25B5" w:rsidP="000209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D14FD0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5749" w:rsidRPr="00D14FD0">
        <w:rPr>
          <w:rFonts w:ascii="Times New Roman" w:hAnsi="Times New Roman" w:cs="Times New Roman"/>
          <w:sz w:val="24"/>
          <w:szCs w:val="24"/>
          <w:lang w:val="es-ES"/>
        </w:rPr>
        <w:t>continuar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5749" w:rsidRPr="00D14FD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>po</w:t>
      </w:r>
      <w:r w:rsidR="000D5749" w:rsidRPr="00D14FD0">
        <w:rPr>
          <w:rFonts w:ascii="Times New Roman" w:hAnsi="Times New Roman" w:cs="Times New Roman"/>
          <w:sz w:val="24"/>
          <w:szCs w:val="24"/>
          <w:lang w:val="es-ES"/>
        </w:rPr>
        <w:t>der desarrollar el proceso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5749" w:rsidRPr="00D14FD0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>gestión integral de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7514" w:rsidRPr="00D14FD0">
        <w:rPr>
          <w:rFonts w:ascii="Times New Roman" w:hAnsi="Times New Roman" w:cs="Times New Roman"/>
          <w:sz w:val="24"/>
          <w:szCs w:val="24"/>
          <w:lang w:val="es-ES"/>
        </w:rPr>
        <w:t>riesgo, se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2237">
        <w:rPr>
          <w:rFonts w:ascii="Times New Roman" w:hAnsi="Times New Roman" w:cs="Times New Roman"/>
          <w:sz w:val="24"/>
          <w:szCs w:val="24"/>
          <w:lang w:val="es-ES"/>
        </w:rPr>
        <w:t>procedió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2237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>través de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>las diferentes etapas como se describe continuación</w:t>
      </w:r>
      <w:r w:rsidRPr="00D14F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</w:p>
    <w:p w:rsidR="00EA25B5" w:rsidRPr="0002093B" w:rsidRDefault="00EA25B5" w:rsidP="004F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117BA" w:rsidRDefault="003117BA" w:rsidP="004F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C1537C" w:rsidRPr="009D03CD" w:rsidRDefault="00C1537C" w:rsidP="00F41F4E">
      <w:pPr>
        <w:autoSpaceDE w:val="0"/>
        <w:autoSpaceDN w:val="0"/>
        <w:adjustRightInd w:val="0"/>
        <w:spacing w:after="0" w:line="360" w:lineRule="auto"/>
        <w:jc w:val="center"/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</w:pPr>
      <w:r w:rsidRPr="009D03CD"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  <w:t>E</w:t>
      </w:r>
      <w:r w:rsidR="00077514" w:rsidRPr="009D03CD"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  <w:t>TAPAS DE LA GESTI</w:t>
      </w:r>
      <w:r w:rsidR="00A94A4B" w:rsidRPr="009D03CD"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  <w:t>Ó</w:t>
      </w:r>
      <w:r w:rsidR="00077514" w:rsidRPr="009D03CD"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  <w:t>N</w:t>
      </w:r>
      <w:r w:rsidR="00A94A4B" w:rsidRPr="009D03CD"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  <w:t xml:space="preserve"> </w:t>
      </w:r>
      <w:r w:rsidR="00077514" w:rsidRPr="009D03CD">
        <w:rPr>
          <w:rFonts w:ascii="Britannic Bold" w:hAnsi="Britannic Bold" w:cs="Times New Roman"/>
          <w:b/>
          <w:color w:val="002060"/>
          <w:sz w:val="28"/>
          <w:szCs w:val="28"/>
          <w:lang w:val="es-ES"/>
        </w:rPr>
        <w:t>DE RIESGO OPERACIONAL</w:t>
      </w:r>
    </w:p>
    <w:p w:rsidR="0002093B" w:rsidRDefault="0002093B" w:rsidP="004F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6280C1" wp14:editId="4AF25B28">
            <wp:simplePos x="0" y="0"/>
            <wp:positionH relativeFrom="column">
              <wp:posOffset>747395</wp:posOffset>
            </wp:positionH>
            <wp:positionV relativeFrom="paragraph">
              <wp:posOffset>450850</wp:posOffset>
            </wp:positionV>
            <wp:extent cx="4333875" cy="2981325"/>
            <wp:effectExtent l="0" t="0" r="9525" b="9525"/>
            <wp:wrapTopAndBottom/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93B" w:rsidRPr="008F1C74" w:rsidRDefault="0002093B" w:rsidP="004F2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</w:pPr>
    </w:p>
    <w:p w:rsidR="00C1537C" w:rsidRPr="008F1C74" w:rsidRDefault="00C1537C" w:rsidP="00C1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B2E" w:rsidRDefault="004A7B2E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37C" w:rsidRDefault="00996D54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cada año  para </w:t>
      </w:r>
      <w:r w:rsidR="00D42237">
        <w:rPr>
          <w:rFonts w:ascii="Times New Roman" w:hAnsi="Times New Roman" w:cs="Times New Roman"/>
          <w:sz w:val="24"/>
          <w:szCs w:val="24"/>
        </w:rPr>
        <w:t xml:space="preserve"> iniciar el proceso </w:t>
      </w:r>
      <w:r w:rsidR="00C7638D">
        <w:rPr>
          <w:rFonts w:ascii="Times New Roman" w:hAnsi="Times New Roman" w:cs="Times New Roman"/>
          <w:sz w:val="24"/>
          <w:szCs w:val="24"/>
        </w:rPr>
        <w:t xml:space="preserve">de Gestión </w:t>
      </w:r>
      <w:r w:rsidR="00D42237">
        <w:rPr>
          <w:rFonts w:ascii="Times New Roman" w:hAnsi="Times New Roman" w:cs="Times New Roman"/>
          <w:sz w:val="24"/>
          <w:szCs w:val="24"/>
        </w:rPr>
        <w:t>se procedió a la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2093B" w:rsidRPr="00D14FD0">
        <w:rPr>
          <w:rFonts w:ascii="Times New Roman" w:hAnsi="Times New Roman" w:cs="Times New Roman"/>
          <w:sz w:val="24"/>
          <w:szCs w:val="24"/>
        </w:rPr>
        <w:t>Identifica</w:t>
      </w:r>
      <w:r w:rsidR="0002093B">
        <w:rPr>
          <w:rFonts w:ascii="Times New Roman" w:hAnsi="Times New Roman" w:cs="Times New Roman"/>
          <w:sz w:val="24"/>
          <w:szCs w:val="24"/>
        </w:rPr>
        <w:t xml:space="preserve">ción de 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C1537C" w:rsidRPr="00D14FD0">
        <w:rPr>
          <w:rFonts w:ascii="Times New Roman" w:hAnsi="Times New Roman" w:cs="Times New Roman"/>
          <w:sz w:val="24"/>
          <w:szCs w:val="24"/>
        </w:rPr>
        <w:t>los riesgos</w:t>
      </w:r>
      <w:r w:rsidR="00A94A4B">
        <w:rPr>
          <w:rFonts w:ascii="Times New Roman" w:hAnsi="Times New Roman" w:cs="Times New Roman"/>
          <w:sz w:val="24"/>
          <w:szCs w:val="24"/>
        </w:rPr>
        <w:t>,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D42237">
        <w:rPr>
          <w:rFonts w:ascii="Times New Roman" w:hAnsi="Times New Roman" w:cs="Times New Roman"/>
          <w:sz w:val="24"/>
          <w:szCs w:val="24"/>
        </w:rPr>
        <w:t xml:space="preserve">lo cual </w:t>
      </w:r>
      <w:r w:rsidR="00C1537C" w:rsidRPr="00D14FD0">
        <w:rPr>
          <w:rFonts w:ascii="Times New Roman" w:hAnsi="Times New Roman" w:cs="Times New Roman"/>
          <w:sz w:val="24"/>
          <w:szCs w:val="24"/>
        </w:rPr>
        <w:t>se</w:t>
      </w:r>
      <w:r w:rsidR="0002093B">
        <w:rPr>
          <w:rFonts w:ascii="Times New Roman" w:hAnsi="Times New Roman" w:cs="Times New Roman"/>
          <w:sz w:val="24"/>
          <w:szCs w:val="24"/>
        </w:rPr>
        <w:t xml:space="preserve"> </w:t>
      </w:r>
      <w:r w:rsidR="00A94A4B">
        <w:rPr>
          <w:rFonts w:ascii="Times New Roman" w:hAnsi="Times New Roman" w:cs="Times New Roman"/>
          <w:sz w:val="24"/>
          <w:szCs w:val="24"/>
        </w:rPr>
        <w:t xml:space="preserve">hizo </w:t>
      </w:r>
      <w:r w:rsidR="00D42237">
        <w:rPr>
          <w:rFonts w:ascii="Times New Roman" w:hAnsi="Times New Roman" w:cs="Times New Roman"/>
          <w:sz w:val="24"/>
          <w:szCs w:val="24"/>
        </w:rPr>
        <w:t>por medio de</w:t>
      </w:r>
      <w:r w:rsidR="00F41F4E">
        <w:rPr>
          <w:rFonts w:ascii="Times New Roman" w:hAnsi="Times New Roman" w:cs="Times New Roman"/>
          <w:sz w:val="24"/>
          <w:szCs w:val="24"/>
        </w:rPr>
        <w:t xml:space="preserve"> las jefaturas de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2093B">
        <w:rPr>
          <w:rFonts w:ascii="Times New Roman" w:hAnsi="Times New Roman" w:cs="Times New Roman"/>
          <w:sz w:val="24"/>
          <w:szCs w:val="24"/>
        </w:rPr>
        <w:t>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E36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de las áreas o u</w:t>
      </w:r>
      <w:r w:rsidR="0002093B">
        <w:rPr>
          <w:rFonts w:ascii="Times New Roman" w:hAnsi="Times New Roman" w:cs="Times New Roman"/>
          <w:sz w:val="24"/>
          <w:szCs w:val="24"/>
        </w:rPr>
        <w:t>nidad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2093B">
        <w:rPr>
          <w:rFonts w:ascii="Times New Roman" w:hAnsi="Times New Roman" w:cs="Times New Roman"/>
          <w:sz w:val="24"/>
          <w:szCs w:val="24"/>
        </w:rPr>
        <w:t>y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2093B">
        <w:rPr>
          <w:rFonts w:ascii="Times New Roman" w:hAnsi="Times New Roman" w:cs="Times New Roman"/>
          <w:sz w:val="24"/>
          <w:szCs w:val="24"/>
        </w:rPr>
        <w:t>luego se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F41F4E">
        <w:rPr>
          <w:rFonts w:ascii="Times New Roman" w:hAnsi="Times New Roman" w:cs="Times New Roman"/>
          <w:sz w:val="24"/>
          <w:szCs w:val="24"/>
        </w:rPr>
        <w:t>continu</w:t>
      </w:r>
      <w:r w:rsidR="00A94A4B">
        <w:rPr>
          <w:rFonts w:ascii="Times New Roman" w:hAnsi="Times New Roman" w:cs="Times New Roman"/>
          <w:sz w:val="24"/>
          <w:szCs w:val="24"/>
        </w:rPr>
        <w:t>ó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F41F4E">
        <w:rPr>
          <w:rFonts w:ascii="Times New Roman" w:hAnsi="Times New Roman" w:cs="Times New Roman"/>
          <w:sz w:val="24"/>
          <w:szCs w:val="24"/>
        </w:rPr>
        <w:t xml:space="preserve">con la </w:t>
      </w:r>
      <w:r w:rsidR="003F3D37">
        <w:rPr>
          <w:rFonts w:ascii="Times New Roman" w:hAnsi="Times New Roman" w:cs="Times New Roman"/>
          <w:sz w:val="24"/>
          <w:szCs w:val="24"/>
        </w:rPr>
        <w:t>medición y valoración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, </w:t>
      </w:r>
      <w:r w:rsidR="00713F98" w:rsidRPr="00D14FD0">
        <w:rPr>
          <w:rFonts w:ascii="Times New Roman" w:hAnsi="Times New Roman" w:cs="Times New Roman"/>
          <w:sz w:val="24"/>
          <w:szCs w:val="24"/>
        </w:rPr>
        <w:t>haciendo uso de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la matriz de impacto </w:t>
      </w:r>
      <w:r w:rsidR="00A94A4B">
        <w:rPr>
          <w:rFonts w:ascii="Times New Roman" w:hAnsi="Times New Roman" w:cs="Times New Roman"/>
          <w:sz w:val="24"/>
          <w:szCs w:val="24"/>
        </w:rPr>
        <w:t xml:space="preserve">- 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ocurrencia, </w:t>
      </w:r>
      <w:r w:rsidR="002C260D" w:rsidRPr="00D14FD0">
        <w:rPr>
          <w:rFonts w:ascii="Times New Roman" w:hAnsi="Times New Roman" w:cs="Times New Roman"/>
          <w:sz w:val="24"/>
          <w:szCs w:val="24"/>
        </w:rPr>
        <w:t>al mismo tiempo las unidades determinaron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5D5616">
        <w:rPr>
          <w:rFonts w:ascii="Times New Roman" w:hAnsi="Times New Roman" w:cs="Times New Roman"/>
          <w:sz w:val="24"/>
          <w:szCs w:val="24"/>
        </w:rPr>
        <w:t xml:space="preserve">por cada </w:t>
      </w:r>
      <w:r w:rsidR="003F3D37">
        <w:rPr>
          <w:rFonts w:ascii="Times New Roman" w:hAnsi="Times New Roman" w:cs="Times New Roman"/>
          <w:sz w:val="24"/>
          <w:szCs w:val="24"/>
        </w:rPr>
        <w:t xml:space="preserve">uno de los </w:t>
      </w:r>
      <w:r w:rsidR="005D5616">
        <w:rPr>
          <w:rFonts w:ascii="Times New Roman" w:hAnsi="Times New Roman" w:cs="Times New Roman"/>
          <w:sz w:val="24"/>
          <w:szCs w:val="24"/>
        </w:rPr>
        <w:t xml:space="preserve">riesgo 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las </w:t>
      </w:r>
      <w:r w:rsidR="003F3D37">
        <w:rPr>
          <w:rFonts w:ascii="Times New Roman" w:hAnsi="Times New Roman" w:cs="Times New Roman"/>
          <w:sz w:val="24"/>
          <w:szCs w:val="24"/>
        </w:rPr>
        <w:t xml:space="preserve">respectivas </w:t>
      </w:r>
      <w:r w:rsidR="003117BA" w:rsidRPr="003117BA">
        <w:rPr>
          <w:rFonts w:ascii="Times New Roman" w:hAnsi="Times New Roman" w:cs="Times New Roman"/>
          <w:b/>
          <w:sz w:val="24"/>
          <w:szCs w:val="24"/>
        </w:rPr>
        <w:t>A</w:t>
      </w:r>
      <w:r w:rsidR="00C1537C" w:rsidRPr="003117BA">
        <w:rPr>
          <w:rFonts w:ascii="Times New Roman" w:hAnsi="Times New Roman" w:cs="Times New Roman"/>
          <w:b/>
          <w:sz w:val="24"/>
          <w:szCs w:val="24"/>
        </w:rPr>
        <w:t xml:space="preserve">cciones de </w:t>
      </w:r>
      <w:r w:rsidR="003117BA" w:rsidRPr="003117BA">
        <w:rPr>
          <w:rFonts w:ascii="Times New Roman" w:hAnsi="Times New Roman" w:cs="Times New Roman"/>
          <w:b/>
          <w:sz w:val="24"/>
          <w:szCs w:val="24"/>
        </w:rPr>
        <w:t>C</w:t>
      </w:r>
      <w:r w:rsidR="00C1537C" w:rsidRPr="003117BA">
        <w:rPr>
          <w:rFonts w:ascii="Times New Roman" w:hAnsi="Times New Roman" w:cs="Times New Roman"/>
          <w:b/>
          <w:sz w:val="24"/>
          <w:szCs w:val="24"/>
        </w:rPr>
        <w:t>ontrol</w:t>
      </w:r>
      <w:r w:rsidR="00A94A4B">
        <w:rPr>
          <w:rFonts w:ascii="Times New Roman" w:hAnsi="Times New Roman" w:cs="Times New Roman"/>
          <w:b/>
          <w:sz w:val="24"/>
          <w:szCs w:val="24"/>
        </w:rPr>
        <w:t>,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para</w:t>
      </w:r>
      <w:r w:rsidR="005D5616">
        <w:rPr>
          <w:rFonts w:ascii="Times New Roman" w:hAnsi="Times New Roman" w:cs="Times New Roman"/>
          <w:sz w:val="24"/>
          <w:szCs w:val="24"/>
        </w:rPr>
        <w:t xml:space="preserve"> prevenir o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632131" w:rsidRPr="00D14FD0">
        <w:rPr>
          <w:rFonts w:ascii="Times New Roman" w:hAnsi="Times New Roman" w:cs="Times New Roman"/>
          <w:sz w:val="24"/>
          <w:szCs w:val="24"/>
        </w:rPr>
        <w:t xml:space="preserve">mitigar </w:t>
      </w:r>
      <w:r w:rsidR="00C1537C" w:rsidRPr="00D14FD0">
        <w:rPr>
          <w:rFonts w:ascii="Times New Roman" w:hAnsi="Times New Roman" w:cs="Times New Roman"/>
          <w:sz w:val="24"/>
          <w:szCs w:val="24"/>
        </w:rPr>
        <w:t>las causa</w:t>
      </w:r>
      <w:r w:rsidR="003117BA">
        <w:rPr>
          <w:rFonts w:ascii="Times New Roman" w:hAnsi="Times New Roman" w:cs="Times New Roman"/>
          <w:sz w:val="24"/>
          <w:szCs w:val="24"/>
        </w:rPr>
        <w:t>s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de</w:t>
      </w:r>
      <w:r w:rsidR="003117BA">
        <w:rPr>
          <w:rFonts w:ascii="Times New Roman" w:hAnsi="Times New Roman" w:cs="Times New Roman"/>
          <w:sz w:val="24"/>
          <w:szCs w:val="24"/>
        </w:rPr>
        <w:t xml:space="preserve"> los diferentes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</w:rPr>
        <w:t>riesgos</w:t>
      </w:r>
      <w:r w:rsidR="003117BA">
        <w:rPr>
          <w:rFonts w:ascii="Times New Roman" w:hAnsi="Times New Roman" w:cs="Times New Roman"/>
          <w:sz w:val="24"/>
          <w:szCs w:val="24"/>
        </w:rPr>
        <w:t xml:space="preserve"> identificados, al mismo tiempo se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386E36">
        <w:rPr>
          <w:rFonts w:ascii="Times New Roman" w:hAnsi="Times New Roman" w:cs="Times New Roman"/>
          <w:sz w:val="24"/>
          <w:szCs w:val="24"/>
        </w:rPr>
        <w:t xml:space="preserve">programó la </w:t>
      </w:r>
      <w:r w:rsidR="003117BA">
        <w:rPr>
          <w:rFonts w:ascii="Times New Roman" w:hAnsi="Times New Roman" w:cs="Times New Roman"/>
          <w:sz w:val="24"/>
          <w:szCs w:val="24"/>
        </w:rPr>
        <w:t xml:space="preserve"> ejecución de </w:t>
      </w:r>
      <w:r w:rsidR="00386E36">
        <w:rPr>
          <w:rFonts w:ascii="Times New Roman" w:hAnsi="Times New Roman" w:cs="Times New Roman"/>
          <w:sz w:val="24"/>
          <w:szCs w:val="24"/>
        </w:rPr>
        <w:t xml:space="preserve"> las diferentes </w:t>
      </w:r>
      <w:r w:rsidR="003117BA">
        <w:rPr>
          <w:rFonts w:ascii="Times New Roman" w:hAnsi="Times New Roman" w:cs="Times New Roman"/>
          <w:sz w:val="24"/>
          <w:szCs w:val="24"/>
        </w:rPr>
        <w:t xml:space="preserve"> Acciones de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3117BA">
        <w:rPr>
          <w:rFonts w:ascii="Times New Roman" w:hAnsi="Times New Roman" w:cs="Times New Roman"/>
          <w:sz w:val="24"/>
          <w:szCs w:val="24"/>
        </w:rPr>
        <w:t>control.</w:t>
      </w:r>
    </w:p>
    <w:p w:rsidR="00B64480" w:rsidRPr="00D14FD0" w:rsidRDefault="00B64480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0FF" w:rsidRDefault="003117BA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2C260D" w:rsidRPr="00D14FD0">
        <w:rPr>
          <w:rFonts w:ascii="Times New Roman" w:hAnsi="Times New Roman" w:cs="Times New Roman"/>
          <w:sz w:val="24"/>
          <w:szCs w:val="24"/>
        </w:rPr>
        <w:t>proceso</w:t>
      </w:r>
      <w:r>
        <w:rPr>
          <w:rFonts w:ascii="Times New Roman" w:hAnsi="Times New Roman" w:cs="Times New Roman"/>
          <w:sz w:val="24"/>
          <w:szCs w:val="24"/>
        </w:rPr>
        <w:t xml:space="preserve"> inicio </w:t>
      </w:r>
      <w:r w:rsidR="002C260D" w:rsidRPr="00D14FD0">
        <w:rPr>
          <w:rFonts w:ascii="Times New Roman" w:hAnsi="Times New Roman" w:cs="Times New Roman"/>
          <w:sz w:val="24"/>
          <w:szCs w:val="24"/>
        </w:rPr>
        <w:t>con la participación de las diferentes jefaturas de departamento</w:t>
      </w:r>
      <w:r w:rsidR="00A94A4B">
        <w:rPr>
          <w:rFonts w:ascii="Times New Roman" w:hAnsi="Times New Roman" w:cs="Times New Roman"/>
          <w:sz w:val="24"/>
          <w:szCs w:val="24"/>
        </w:rPr>
        <w:t>s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 y unidades</w:t>
      </w:r>
      <w:r w:rsidR="00A94A4B">
        <w:rPr>
          <w:rFonts w:ascii="Times New Roman" w:hAnsi="Times New Roman" w:cs="Times New Roman"/>
          <w:sz w:val="24"/>
          <w:szCs w:val="24"/>
        </w:rPr>
        <w:t>;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D738FD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3F3D37">
        <w:rPr>
          <w:rFonts w:ascii="Times New Roman" w:hAnsi="Times New Roman" w:cs="Times New Roman"/>
          <w:sz w:val="24"/>
          <w:szCs w:val="24"/>
        </w:rPr>
        <w:t xml:space="preserve">una vez identificados los riesgos </w:t>
      </w:r>
      <w:r w:rsidR="002C260D" w:rsidRPr="00D14FD0">
        <w:rPr>
          <w:rFonts w:ascii="Times New Roman" w:hAnsi="Times New Roman" w:cs="Times New Roman"/>
          <w:sz w:val="24"/>
          <w:szCs w:val="24"/>
        </w:rPr>
        <w:t>se sometió a conocimiento y</w:t>
      </w:r>
      <w:r w:rsidR="00E96514">
        <w:rPr>
          <w:rFonts w:ascii="Times New Roman" w:hAnsi="Times New Roman" w:cs="Times New Roman"/>
          <w:sz w:val="24"/>
          <w:szCs w:val="24"/>
        </w:rPr>
        <w:t xml:space="preserve"> 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4A7B2E">
        <w:rPr>
          <w:rFonts w:ascii="Times New Roman" w:hAnsi="Times New Roman" w:cs="Times New Roman"/>
          <w:sz w:val="24"/>
          <w:szCs w:val="24"/>
        </w:rPr>
        <w:t xml:space="preserve"> del Comité de Riesgo, </w:t>
      </w:r>
      <w:r w:rsidR="00A94A4B">
        <w:rPr>
          <w:rFonts w:ascii="Times New Roman" w:hAnsi="Times New Roman" w:cs="Times New Roman"/>
          <w:sz w:val="24"/>
          <w:szCs w:val="24"/>
        </w:rPr>
        <w:t>f</w:t>
      </w:r>
      <w:r w:rsidR="004A7B2E">
        <w:rPr>
          <w:rFonts w:ascii="Times New Roman" w:hAnsi="Times New Roman" w:cs="Times New Roman"/>
          <w:sz w:val="24"/>
          <w:szCs w:val="24"/>
        </w:rPr>
        <w:t>inalizando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 con la</w:t>
      </w:r>
      <w:r w:rsidR="004110FF">
        <w:rPr>
          <w:rFonts w:ascii="Times New Roman" w:hAnsi="Times New Roman" w:cs="Times New Roman"/>
          <w:sz w:val="24"/>
          <w:szCs w:val="24"/>
        </w:rPr>
        <w:t xml:space="preserve"> presentación y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aprobación definitiva </w:t>
      </w:r>
      <w:r w:rsidR="00A94A4B">
        <w:rPr>
          <w:rFonts w:ascii="Times New Roman" w:hAnsi="Times New Roman" w:cs="Times New Roman"/>
          <w:sz w:val="24"/>
          <w:szCs w:val="24"/>
        </w:rPr>
        <w:t xml:space="preserve">por parte </w:t>
      </w:r>
      <w:r w:rsidR="002C260D" w:rsidRPr="00D14FD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C260D" w:rsidRPr="00D14FD0">
        <w:rPr>
          <w:rFonts w:ascii="Times New Roman" w:hAnsi="Times New Roman" w:cs="Times New Roman"/>
          <w:sz w:val="24"/>
          <w:szCs w:val="24"/>
        </w:rPr>
        <w:t xml:space="preserve"> Honorable Consejo Directivo</w:t>
      </w:r>
      <w:r w:rsidR="004110FF">
        <w:rPr>
          <w:rFonts w:ascii="Times New Roman" w:hAnsi="Times New Roman" w:cs="Times New Roman"/>
          <w:sz w:val="24"/>
          <w:szCs w:val="24"/>
        </w:rPr>
        <w:t>,</w:t>
      </w:r>
      <w:r w:rsidR="004110FF" w:rsidRPr="004110FF">
        <w:rPr>
          <w:rFonts w:ascii="Times New Roman" w:hAnsi="Times New Roman" w:cs="Times New Roman"/>
          <w:sz w:val="24"/>
          <w:szCs w:val="24"/>
        </w:rPr>
        <w:t xml:space="preserve"> </w:t>
      </w:r>
      <w:r w:rsidR="004110FF" w:rsidRPr="00D14FD0">
        <w:rPr>
          <w:rFonts w:ascii="Times New Roman" w:hAnsi="Times New Roman" w:cs="Times New Roman"/>
          <w:sz w:val="24"/>
          <w:szCs w:val="24"/>
        </w:rPr>
        <w:t xml:space="preserve">de la </w:t>
      </w:r>
      <w:r w:rsidR="004110FF" w:rsidRPr="004A7B2E">
        <w:rPr>
          <w:rFonts w:ascii="Times New Roman" w:hAnsi="Times New Roman" w:cs="Times New Roman"/>
          <w:b/>
          <w:sz w:val="24"/>
          <w:szCs w:val="24"/>
        </w:rPr>
        <w:t>Matriz Institucional de Riesgo Operacional IPSFA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0FF" w:rsidRPr="004A7B2E">
        <w:rPr>
          <w:rFonts w:ascii="Times New Roman" w:hAnsi="Times New Roman" w:cs="Times New Roman"/>
          <w:b/>
          <w:sz w:val="24"/>
          <w:szCs w:val="24"/>
        </w:rPr>
        <w:t>201</w:t>
      </w:r>
      <w:r w:rsidR="00E96514">
        <w:rPr>
          <w:rFonts w:ascii="Times New Roman" w:hAnsi="Times New Roman" w:cs="Times New Roman"/>
          <w:b/>
          <w:sz w:val="24"/>
          <w:szCs w:val="24"/>
        </w:rPr>
        <w:t>7</w:t>
      </w:r>
      <w:r w:rsidR="004110FF">
        <w:rPr>
          <w:rFonts w:ascii="Times New Roman" w:hAnsi="Times New Roman" w:cs="Times New Roman"/>
          <w:b/>
          <w:sz w:val="24"/>
          <w:szCs w:val="24"/>
        </w:rPr>
        <w:t>.</w:t>
      </w:r>
    </w:p>
    <w:p w:rsidR="00A91BC6" w:rsidRDefault="00190FD9" w:rsidP="004B0B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48BC" w:rsidRDefault="002C260D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09" w:rsidRDefault="00B64480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Continuando con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7C1B4D" w:rsidRPr="00D14FD0">
        <w:rPr>
          <w:rFonts w:ascii="Times New Roman" w:hAnsi="Times New Roman" w:cs="Times New Roman"/>
          <w:sz w:val="24"/>
          <w:szCs w:val="24"/>
        </w:rPr>
        <w:t>el proceso de elaboración</w:t>
      </w:r>
      <w:r>
        <w:rPr>
          <w:rFonts w:ascii="Times New Roman" w:hAnsi="Times New Roman" w:cs="Times New Roman"/>
          <w:sz w:val="24"/>
          <w:szCs w:val="24"/>
        </w:rPr>
        <w:t xml:space="preserve"> y Aprobación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7C1B4D" w:rsidRPr="00D14FD0">
        <w:rPr>
          <w:rFonts w:ascii="Times New Roman" w:hAnsi="Times New Roman" w:cs="Times New Roman"/>
          <w:sz w:val="24"/>
          <w:szCs w:val="24"/>
        </w:rPr>
        <w:t xml:space="preserve">de la </w:t>
      </w:r>
      <w:r w:rsidR="007C1B4D" w:rsidRPr="004A7B2E">
        <w:rPr>
          <w:rFonts w:ascii="Times New Roman" w:hAnsi="Times New Roman" w:cs="Times New Roman"/>
          <w:b/>
          <w:sz w:val="24"/>
          <w:szCs w:val="24"/>
        </w:rPr>
        <w:t>Matriz Institucional de Riesgo Operacional IPSFA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4D" w:rsidRPr="004A7B2E">
        <w:rPr>
          <w:rFonts w:ascii="Times New Roman" w:hAnsi="Times New Roman" w:cs="Times New Roman"/>
          <w:b/>
          <w:sz w:val="24"/>
          <w:szCs w:val="24"/>
        </w:rPr>
        <w:t>20</w:t>
      </w:r>
      <w:r w:rsidR="00405A9D" w:rsidRPr="004A7B2E">
        <w:rPr>
          <w:rFonts w:ascii="Times New Roman" w:hAnsi="Times New Roman" w:cs="Times New Roman"/>
          <w:b/>
          <w:sz w:val="24"/>
          <w:szCs w:val="24"/>
        </w:rPr>
        <w:t>1</w:t>
      </w:r>
      <w:r w:rsidR="00E96514">
        <w:rPr>
          <w:rFonts w:ascii="Times New Roman" w:hAnsi="Times New Roman" w:cs="Times New Roman"/>
          <w:b/>
          <w:sz w:val="24"/>
          <w:szCs w:val="24"/>
        </w:rPr>
        <w:t>7</w:t>
      </w:r>
      <w:r w:rsidR="00A94A4B">
        <w:rPr>
          <w:rFonts w:ascii="Times New Roman" w:hAnsi="Times New Roman" w:cs="Times New Roman"/>
          <w:b/>
          <w:sz w:val="24"/>
          <w:szCs w:val="24"/>
        </w:rPr>
        <w:t>,</w:t>
      </w:r>
      <w:r w:rsidR="00B86A3C">
        <w:rPr>
          <w:rFonts w:ascii="Times New Roman" w:hAnsi="Times New Roman" w:cs="Times New Roman"/>
          <w:sz w:val="24"/>
          <w:szCs w:val="24"/>
        </w:rPr>
        <w:t xml:space="preserve"> </w:t>
      </w:r>
      <w:r w:rsidR="00E96514">
        <w:rPr>
          <w:rFonts w:ascii="Times New Roman" w:hAnsi="Times New Roman" w:cs="Times New Roman"/>
          <w:sz w:val="24"/>
          <w:szCs w:val="24"/>
        </w:rPr>
        <w:t xml:space="preserve">para este año 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A7B2E">
        <w:rPr>
          <w:rFonts w:ascii="Times New Roman" w:hAnsi="Times New Roman" w:cs="Times New Roman"/>
          <w:sz w:val="24"/>
          <w:szCs w:val="24"/>
        </w:rPr>
        <w:t>g</w:t>
      </w:r>
      <w:r w:rsidR="00A94A4B">
        <w:rPr>
          <w:rFonts w:ascii="Times New Roman" w:hAnsi="Times New Roman" w:cs="Times New Roman"/>
          <w:sz w:val="24"/>
          <w:szCs w:val="24"/>
        </w:rPr>
        <w:t>e</w:t>
      </w:r>
      <w:r w:rsidR="004A7B2E">
        <w:rPr>
          <w:rFonts w:ascii="Times New Roman" w:hAnsi="Times New Roman" w:cs="Times New Roman"/>
          <w:sz w:val="24"/>
          <w:szCs w:val="24"/>
        </w:rPr>
        <w:t>ner</w:t>
      </w:r>
      <w:r w:rsidR="00A94A4B">
        <w:rPr>
          <w:rFonts w:ascii="Times New Roman" w:hAnsi="Times New Roman" w:cs="Times New Roman"/>
          <w:sz w:val="24"/>
          <w:szCs w:val="24"/>
        </w:rPr>
        <w:t>ó</w:t>
      </w:r>
      <w:r w:rsidR="004A7B2E">
        <w:rPr>
          <w:rFonts w:ascii="Times New Roman" w:hAnsi="Times New Roman" w:cs="Times New Roman"/>
          <w:sz w:val="24"/>
          <w:szCs w:val="24"/>
        </w:rPr>
        <w:t xml:space="preserve"> como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re</w:t>
      </w:r>
      <w:r w:rsidR="004A7B2E">
        <w:rPr>
          <w:rFonts w:ascii="Times New Roman" w:hAnsi="Times New Roman" w:cs="Times New Roman"/>
          <w:sz w:val="24"/>
          <w:szCs w:val="24"/>
        </w:rPr>
        <w:t xml:space="preserve">sultado </w:t>
      </w:r>
      <w:r w:rsidR="00EC5442">
        <w:rPr>
          <w:rFonts w:ascii="Times New Roman" w:hAnsi="Times New Roman" w:cs="Times New Roman"/>
          <w:sz w:val="24"/>
          <w:szCs w:val="24"/>
        </w:rPr>
        <w:t>2</w:t>
      </w:r>
      <w:r w:rsidR="006C3A51">
        <w:rPr>
          <w:rFonts w:ascii="Times New Roman" w:hAnsi="Times New Roman" w:cs="Times New Roman"/>
          <w:sz w:val="24"/>
          <w:szCs w:val="24"/>
        </w:rPr>
        <w:t>3</w:t>
      </w:r>
      <w:r w:rsidR="004A7B2E">
        <w:rPr>
          <w:rFonts w:ascii="Times New Roman" w:hAnsi="Times New Roman" w:cs="Times New Roman"/>
          <w:sz w:val="24"/>
          <w:szCs w:val="24"/>
        </w:rPr>
        <w:t xml:space="preserve"> riesgos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A7B2E">
        <w:rPr>
          <w:rFonts w:ascii="Times New Roman" w:hAnsi="Times New Roman" w:cs="Times New Roman"/>
          <w:sz w:val="24"/>
          <w:szCs w:val="24"/>
        </w:rPr>
        <w:t>y 2</w:t>
      </w:r>
      <w:r w:rsidR="00EC5442">
        <w:rPr>
          <w:rFonts w:ascii="Times New Roman" w:hAnsi="Times New Roman" w:cs="Times New Roman"/>
          <w:sz w:val="24"/>
          <w:szCs w:val="24"/>
        </w:rPr>
        <w:t>7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43809" w:rsidRPr="00D14FD0">
        <w:rPr>
          <w:rFonts w:ascii="Times New Roman" w:hAnsi="Times New Roman" w:cs="Times New Roman"/>
          <w:sz w:val="24"/>
          <w:szCs w:val="24"/>
        </w:rPr>
        <w:t>acciones</w:t>
      </w:r>
      <w:r w:rsidR="0009700E">
        <w:rPr>
          <w:rFonts w:ascii="Times New Roman" w:hAnsi="Times New Roman" w:cs="Times New Roman"/>
          <w:sz w:val="24"/>
          <w:szCs w:val="24"/>
        </w:rPr>
        <w:t xml:space="preserve"> de control, l</w:t>
      </w:r>
      <w:r w:rsidR="00A94A4B">
        <w:rPr>
          <w:rFonts w:ascii="Times New Roman" w:hAnsi="Times New Roman" w:cs="Times New Roman"/>
          <w:sz w:val="24"/>
          <w:szCs w:val="24"/>
        </w:rPr>
        <w:t>o</w:t>
      </w:r>
      <w:r w:rsidR="0009700E">
        <w:rPr>
          <w:rFonts w:ascii="Times New Roman" w:hAnsi="Times New Roman" w:cs="Times New Roman"/>
          <w:sz w:val="24"/>
          <w:szCs w:val="24"/>
        </w:rPr>
        <w:t>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43809" w:rsidRPr="00D14FD0">
        <w:rPr>
          <w:rFonts w:ascii="Times New Roman" w:hAnsi="Times New Roman" w:cs="Times New Roman"/>
          <w:sz w:val="24"/>
          <w:szCs w:val="24"/>
        </w:rPr>
        <w:t>que se presenta</w:t>
      </w:r>
      <w:r w:rsidR="0009700E">
        <w:rPr>
          <w:rFonts w:ascii="Times New Roman" w:hAnsi="Times New Roman" w:cs="Times New Roman"/>
          <w:sz w:val="24"/>
          <w:szCs w:val="24"/>
        </w:rPr>
        <w:t>n</w:t>
      </w:r>
      <w:r w:rsidR="00443809" w:rsidRPr="00D14FD0">
        <w:rPr>
          <w:rFonts w:ascii="Times New Roman" w:hAnsi="Times New Roman" w:cs="Times New Roman"/>
          <w:sz w:val="24"/>
          <w:szCs w:val="24"/>
        </w:rPr>
        <w:t xml:space="preserve"> en el cuadro</w:t>
      </w:r>
      <w:r w:rsidR="004A7B2E">
        <w:rPr>
          <w:rFonts w:ascii="Times New Roman" w:hAnsi="Times New Roman" w:cs="Times New Roman"/>
          <w:sz w:val="24"/>
          <w:szCs w:val="24"/>
        </w:rPr>
        <w:t xml:space="preserve"> resumen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A7B2E">
        <w:rPr>
          <w:rFonts w:ascii="Times New Roman" w:hAnsi="Times New Roman" w:cs="Times New Roman"/>
          <w:sz w:val="24"/>
          <w:szCs w:val="24"/>
        </w:rPr>
        <w:t>siguiente:</w:t>
      </w:r>
    </w:p>
    <w:p w:rsidR="00C26509" w:rsidRDefault="00C26509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7BA" w:rsidRDefault="003117BA" w:rsidP="007147B5">
      <w:pPr>
        <w:pStyle w:val="Sinespaciado"/>
        <w:jc w:val="center"/>
        <w:rPr>
          <w:rFonts w:ascii="Britannic Bold" w:hAnsi="Britannic Bold"/>
          <w:sz w:val="28"/>
          <w:szCs w:val="28"/>
        </w:rPr>
      </w:pPr>
    </w:p>
    <w:p w:rsidR="003117BA" w:rsidRDefault="003117BA" w:rsidP="007147B5">
      <w:pPr>
        <w:pStyle w:val="Sinespaciado"/>
        <w:jc w:val="center"/>
        <w:rPr>
          <w:rFonts w:ascii="Britannic Bold" w:hAnsi="Britannic Bold"/>
          <w:sz w:val="28"/>
          <w:szCs w:val="28"/>
        </w:rPr>
      </w:pPr>
    </w:p>
    <w:p w:rsidR="00C26509" w:rsidRPr="004148F7" w:rsidRDefault="00C26509" w:rsidP="007147B5">
      <w:pPr>
        <w:pStyle w:val="Sinespaciado"/>
        <w:jc w:val="center"/>
        <w:rPr>
          <w:rFonts w:ascii="Britannic Bold" w:hAnsi="Britannic Bold"/>
          <w:color w:val="FF0000"/>
          <w:sz w:val="32"/>
          <w:szCs w:val="32"/>
        </w:rPr>
      </w:pPr>
      <w:r w:rsidRPr="004148F7">
        <w:rPr>
          <w:rFonts w:ascii="Britannic Bold" w:hAnsi="Britannic Bold"/>
          <w:color w:val="FF0000"/>
          <w:sz w:val="32"/>
          <w:szCs w:val="32"/>
        </w:rPr>
        <w:t xml:space="preserve">CUADRO RESUMEN </w:t>
      </w:r>
      <w:r w:rsidR="006C3A51">
        <w:rPr>
          <w:rFonts w:ascii="Britannic Bold" w:hAnsi="Britannic Bold"/>
          <w:color w:val="FF0000"/>
          <w:sz w:val="32"/>
          <w:szCs w:val="32"/>
        </w:rPr>
        <w:t xml:space="preserve"> DE RIESGOS </w:t>
      </w:r>
      <w:r w:rsidRPr="004148F7">
        <w:rPr>
          <w:rFonts w:ascii="Britannic Bold" w:hAnsi="Britannic Bold"/>
          <w:color w:val="FF0000"/>
          <w:sz w:val="32"/>
          <w:szCs w:val="32"/>
        </w:rPr>
        <w:t>POR CRITICIDAD  201</w:t>
      </w:r>
      <w:r w:rsidR="001E6878">
        <w:rPr>
          <w:rFonts w:ascii="Britannic Bold" w:hAnsi="Britannic Bold"/>
          <w:color w:val="FF0000"/>
          <w:sz w:val="32"/>
          <w:szCs w:val="32"/>
        </w:rPr>
        <w:t>7</w:t>
      </w:r>
    </w:p>
    <w:p w:rsidR="007147B5" w:rsidRPr="00C26509" w:rsidRDefault="007147B5" w:rsidP="00C26509">
      <w:pPr>
        <w:pStyle w:val="Sinespaciado"/>
        <w:rPr>
          <w:rFonts w:ascii="Arial Black" w:hAnsi="Arial Black"/>
        </w:rPr>
      </w:pPr>
    </w:p>
    <w:tbl>
      <w:tblPr>
        <w:tblW w:w="87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003"/>
        <w:gridCol w:w="1026"/>
        <w:gridCol w:w="1670"/>
        <w:gridCol w:w="1472"/>
        <w:gridCol w:w="871"/>
        <w:gridCol w:w="1375"/>
      </w:tblGrid>
      <w:tr w:rsidR="00C26509" w:rsidRPr="00C26509" w:rsidTr="001E6878">
        <w:trPr>
          <w:trHeight w:val="495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BD4B4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FACTORES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26509">
              <w:rPr>
                <w:rFonts w:ascii="Arial" w:eastAsia="Times New Roman" w:hAnsi="Arial" w:cs="Arial"/>
                <w:sz w:val="36"/>
                <w:szCs w:val="36"/>
              </w:rPr>
              <w:t> </w:t>
            </w:r>
          </w:p>
        </w:tc>
      </w:tr>
      <w:tr w:rsidR="00C26509" w:rsidRPr="00C26509" w:rsidTr="001E6878">
        <w:trPr>
          <w:trHeight w:val="846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CRITICIDAD DE </w:t>
            </w:r>
            <w:r w:rsidR="00066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06661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RIESGO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PROCESO</w:t>
            </w:r>
            <w:r w:rsidRPr="00C2650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S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PERSONAS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ACONTECIMIENTO EXTERNOS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26509" w:rsidRPr="00C26509" w:rsidRDefault="00C26509" w:rsidP="000E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TECNOL</w:t>
            </w:r>
            <w:r w:rsidR="000E33D3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Ó</w:t>
            </w: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GICOS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TOTAL RIESGOS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TOTAL ACCIONES </w:t>
            </w:r>
            <w:r w:rsidR="00066617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 xml:space="preserve"> </w:t>
            </w:r>
            <w:r w:rsidRPr="00C26509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>DE CONTROL</w:t>
            </w:r>
          </w:p>
        </w:tc>
      </w:tr>
      <w:tr w:rsidR="00C26509" w:rsidRPr="00C26509" w:rsidTr="001E6878">
        <w:trPr>
          <w:trHeight w:val="67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</w:t>
            </w:r>
            <w:r w:rsidR="000E33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Í</w:t>
            </w: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ITICO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26509" w:rsidRPr="00E14540" w:rsidTr="001E6878">
        <w:trPr>
          <w:trHeight w:val="578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26509" w:rsidRPr="00C26509" w:rsidTr="001E6878">
        <w:trPr>
          <w:trHeight w:val="529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MODERADO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6C3A51" w:rsidP="006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</w:tcPr>
          <w:p w:rsidR="00C26509" w:rsidRPr="00C26509" w:rsidRDefault="004148F7" w:rsidP="006C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C3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26509" w:rsidRPr="00C26509" w:rsidTr="001E6878">
        <w:trPr>
          <w:trHeight w:val="55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26509" w:rsidRPr="00C26509" w:rsidRDefault="00C26509" w:rsidP="00C2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BAJO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C26509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26509" w:rsidRPr="00C26509" w:rsidTr="00066617">
        <w:trPr>
          <w:trHeight w:val="794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  <w:hideMark/>
          </w:tcPr>
          <w:p w:rsidR="00C26509" w:rsidRPr="00C26509" w:rsidRDefault="00C26509" w:rsidP="000E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26509" w:rsidRPr="00C26509" w:rsidRDefault="006C3A51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26509" w:rsidRPr="00C26509" w:rsidRDefault="001E6878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26509" w:rsidRPr="00C26509" w:rsidRDefault="001E6878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26509" w:rsidRPr="00C26509" w:rsidRDefault="004148F7" w:rsidP="001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9646" w:themeFill="accent6"/>
            <w:vAlign w:val="center"/>
          </w:tcPr>
          <w:p w:rsidR="00C26509" w:rsidRPr="00C26509" w:rsidRDefault="004148F7" w:rsidP="00C2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C26509" w:rsidRDefault="00C26509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37C" w:rsidRPr="008F1C74" w:rsidRDefault="00C1537C" w:rsidP="00A661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C0D" w:rsidRDefault="0009700E" w:rsidP="00A6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F45057" w:rsidRPr="00D14FD0">
        <w:rPr>
          <w:rFonts w:ascii="Times New Roman" w:hAnsi="Times New Roman" w:cs="Times New Roman"/>
          <w:sz w:val="24"/>
          <w:szCs w:val="24"/>
        </w:rPr>
        <w:t xml:space="preserve">finalizar </w:t>
      </w:r>
      <w:r w:rsidR="000E33D3">
        <w:rPr>
          <w:rFonts w:ascii="Times New Roman" w:hAnsi="Times New Roman" w:cs="Times New Roman"/>
          <w:sz w:val="24"/>
          <w:szCs w:val="24"/>
        </w:rPr>
        <w:t xml:space="preserve">la </w:t>
      </w:r>
      <w:r w:rsidR="000B6865">
        <w:rPr>
          <w:rFonts w:ascii="Times New Roman" w:hAnsi="Times New Roman" w:cs="Times New Roman"/>
          <w:sz w:val="24"/>
          <w:szCs w:val="24"/>
        </w:rPr>
        <w:t xml:space="preserve">elaboración </w:t>
      </w:r>
      <w:r w:rsidR="00F45057" w:rsidRPr="00D14FD0">
        <w:rPr>
          <w:rFonts w:ascii="Times New Roman" w:hAnsi="Times New Roman" w:cs="Times New Roman"/>
          <w:sz w:val="24"/>
          <w:szCs w:val="24"/>
        </w:rPr>
        <w:t xml:space="preserve">del </w:t>
      </w:r>
      <w:r w:rsidR="00F45057" w:rsidRPr="000B6865">
        <w:rPr>
          <w:rFonts w:ascii="Times New Roman" w:hAnsi="Times New Roman" w:cs="Times New Roman"/>
          <w:b/>
          <w:sz w:val="24"/>
          <w:szCs w:val="24"/>
        </w:rPr>
        <w:t>MAPA INSTITUCIONAL DE RIESGOS OPERACIONAL IPSFA</w:t>
      </w:r>
      <w:r w:rsidR="00632131" w:rsidRPr="000B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57" w:rsidRPr="000B6865">
        <w:rPr>
          <w:rFonts w:ascii="Times New Roman" w:hAnsi="Times New Roman" w:cs="Times New Roman"/>
          <w:b/>
          <w:sz w:val="24"/>
          <w:szCs w:val="24"/>
        </w:rPr>
        <w:t>201</w:t>
      </w:r>
      <w:r w:rsidR="001E6878">
        <w:rPr>
          <w:rFonts w:ascii="Times New Roman" w:hAnsi="Times New Roman" w:cs="Times New Roman"/>
          <w:b/>
          <w:sz w:val="24"/>
          <w:szCs w:val="24"/>
        </w:rPr>
        <w:t>7</w:t>
      </w:r>
      <w:r w:rsidR="00F45057" w:rsidRPr="000B6865">
        <w:rPr>
          <w:rFonts w:ascii="Times New Roman" w:hAnsi="Times New Roman" w:cs="Times New Roman"/>
          <w:b/>
          <w:sz w:val="24"/>
          <w:szCs w:val="24"/>
        </w:rPr>
        <w:t>,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E33D3">
        <w:rPr>
          <w:rFonts w:ascii="Times New Roman" w:hAnsi="Times New Roman" w:cs="Times New Roman"/>
          <w:sz w:val="24"/>
          <w:szCs w:val="24"/>
        </w:rPr>
        <w:t xml:space="preserve">dicho mapa se presentó 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al </w:t>
      </w:r>
      <w:r w:rsidR="00F45057" w:rsidRPr="00D14FD0">
        <w:rPr>
          <w:rFonts w:ascii="Times New Roman" w:hAnsi="Times New Roman" w:cs="Times New Roman"/>
          <w:sz w:val="24"/>
          <w:szCs w:val="24"/>
        </w:rPr>
        <w:t>H</w:t>
      </w:r>
      <w:r w:rsidR="00C1537C" w:rsidRPr="00D14FD0">
        <w:rPr>
          <w:rFonts w:ascii="Times New Roman" w:hAnsi="Times New Roman" w:cs="Times New Roman"/>
          <w:sz w:val="24"/>
          <w:szCs w:val="24"/>
        </w:rPr>
        <w:t>onorable Consejo Directivo</w:t>
      </w:r>
      <w:r w:rsidR="00E14540">
        <w:rPr>
          <w:rFonts w:ascii="Times New Roman" w:hAnsi="Times New Roman" w:cs="Times New Roman"/>
          <w:sz w:val="24"/>
          <w:szCs w:val="24"/>
        </w:rPr>
        <w:t xml:space="preserve"> del IPSFA</w:t>
      </w:r>
      <w:r w:rsidR="00C1537C" w:rsidRPr="00D14FD0">
        <w:rPr>
          <w:rFonts w:ascii="Times New Roman" w:hAnsi="Times New Roman" w:cs="Times New Roman"/>
          <w:sz w:val="24"/>
          <w:szCs w:val="24"/>
        </w:rPr>
        <w:t>,</w:t>
      </w:r>
      <w:r w:rsidR="00FB3E4A">
        <w:rPr>
          <w:rFonts w:ascii="Times New Roman" w:hAnsi="Times New Roman" w:cs="Times New Roman"/>
          <w:sz w:val="24"/>
          <w:szCs w:val="24"/>
        </w:rPr>
        <w:t xml:space="preserve"> para su conocimiento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B53214">
        <w:rPr>
          <w:rFonts w:ascii="Times New Roman" w:hAnsi="Times New Roman" w:cs="Times New Roman"/>
          <w:sz w:val="24"/>
          <w:szCs w:val="24"/>
        </w:rPr>
        <w:t xml:space="preserve">procediendo </w:t>
      </w:r>
      <w:r w:rsidR="00F45057" w:rsidRPr="00D14FD0">
        <w:rPr>
          <w:rFonts w:ascii="Times New Roman" w:hAnsi="Times New Roman" w:cs="Times New Roman"/>
          <w:sz w:val="24"/>
          <w:szCs w:val="24"/>
        </w:rPr>
        <w:t xml:space="preserve">a su </w:t>
      </w:r>
      <w:r w:rsidR="00C1537C" w:rsidRPr="00D14FD0">
        <w:rPr>
          <w:rFonts w:ascii="Times New Roman" w:hAnsi="Times New Roman" w:cs="Times New Roman"/>
          <w:sz w:val="24"/>
          <w:szCs w:val="24"/>
        </w:rPr>
        <w:t>aprobación</w:t>
      </w:r>
      <w:r w:rsidR="000E33D3">
        <w:rPr>
          <w:rFonts w:ascii="Times New Roman" w:hAnsi="Times New Roman" w:cs="Times New Roman"/>
          <w:sz w:val="24"/>
          <w:szCs w:val="24"/>
        </w:rPr>
        <w:t xml:space="preserve">, 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 mediante Resolución No. </w:t>
      </w:r>
      <w:r w:rsidR="00775D37">
        <w:rPr>
          <w:rFonts w:ascii="Times New Roman" w:hAnsi="Times New Roman" w:cs="Times New Roman"/>
          <w:sz w:val="24"/>
          <w:szCs w:val="24"/>
        </w:rPr>
        <w:t>73</w:t>
      </w:r>
      <w:r w:rsidR="000E33D3">
        <w:rPr>
          <w:rFonts w:ascii="Times New Roman" w:hAnsi="Times New Roman" w:cs="Times New Roman"/>
          <w:sz w:val="24"/>
          <w:szCs w:val="24"/>
        </w:rPr>
        <w:t>, contenida en el Acta CD-</w:t>
      </w:r>
      <w:r w:rsidR="00775D37">
        <w:rPr>
          <w:rFonts w:ascii="Times New Roman" w:hAnsi="Times New Roman" w:cs="Times New Roman"/>
          <w:sz w:val="24"/>
          <w:szCs w:val="24"/>
        </w:rPr>
        <w:t>22</w:t>
      </w:r>
      <w:r w:rsidR="000E33D3">
        <w:rPr>
          <w:rFonts w:ascii="Times New Roman" w:hAnsi="Times New Roman" w:cs="Times New Roman"/>
          <w:sz w:val="24"/>
          <w:szCs w:val="24"/>
        </w:rPr>
        <w:t>/201</w:t>
      </w:r>
      <w:r w:rsidR="00775D37">
        <w:rPr>
          <w:rFonts w:ascii="Times New Roman" w:hAnsi="Times New Roman" w:cs="Times New Roman"/>
          <w:sz w:val="24"/>
          <w:szCs w:val="24"/>
        </w:rPr>
        <w:t>6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="00E14540">
        <w:rPr>
          <w:rFonts w:ascii="Times New Roman" w:hAnsi="Times New Roman" w:cs="Times New Roman"/>
          <w:sz w:val="24"/>
          <w:szCs w:val="24"/>
        </w:rPr>
        <w:t xml:space="preserve"> de </w:t>
      </w:r>
      <w:r w:rsidR="00C1537C" w:rsidRPr="00D14FD0">
        <w:rPr>
          <w:rFonts w:ascii="Times New Roman" w:hAnsi="Times New Roman" w:cs="Times New Roman"/>
          <w:sz w:val="24"/>
          <w:szCs w:val="24"/>
        </w:rPr>
        <w:t xml:space="preserve">fecha </w:t>
      </w:r>
      <w:r w:rsidR="00775D37">
        <w:rPr>
          <w:rFonts w:ascii="Times New Roman" w:hAnsi="Times New Roman" w:cs="Times New Roman"/>
          <w:sz w:val="24"/>
          <w:szCs w:val="24"/>
        </w:rPr>
        <w:t>30</w:t>
      </w:r>
      <w:r w:rsidR="00F45057" w:rsidRPr="00D14FD0">
        <w:rPr>
          <w:rFonts w:ascii="Times New Roman" w:hAnsi="Times New Roman" w:cs="Times New Roman"/>
          <w:sz w:val="24"/>
          <w:szCs w:val="24"/>
        </w:rPr>
        <w:t xml:space="preserve"> de </w:t>
      </w:r>
      <w:r w:rsidR="00775D37">
        <w:rPr>
          <w:rFonts w:ascii="Times New Roman" w:hAnsi="Times New Roman" w:cs="Times New Roman"/>
          <w:sz w:val="24"/>
          <w:szCs w:val="24"/>
        </w:rPr>
        <w:t>Junio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F45057" w:rsidRPr="00D14FD0">
        <w:rPr>
          <w:rFonts w:ascii="Times New Roman" w:hAnsi="Times New Roman" w:cs="Times New Roman"/>
          <w:sz w:val="24"/>
          <w:szCs w:val="24"/>
        </w:rPr>
        <w:t>de</w:t>
      </w:r>
      <w:r w:rsidR="00775D37">
        <w:rPr>
          <w:rFonts w:ascii="Times New Roman" w:hAnsi="Times New Roman" w:cs="Times New Roman"/>
          <w:sz w:val="24"/>
          <w:szCs w:val="24"/>
        </w:rPr>
        <w:t>l 2016</w:t>
      </w:r>
      <w:r w:rsidR="00F45057" w:rsidRPr="00D14FD0">
        <w:rPr>
          <w:rFonts w:ascii="Times New Roman" w:hAnsi="Times New Roman" w:cs="Times New Roman"/>
          <w:sz w:val="24"/>
          <w:szCs w:val="24"/>
        </w:rPr>
        <w:t>.</w:t>
      </w:r>
      <w:r w:rsidR="007D7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37" w:rsidRDefault="00775D37" w:rsidP="00A6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 se presentan los diferentes tipos de riesgo a los que está expuesto el IPSFA.</w:t>
      </w:r>
      <w:r w:rsidR="00DC48BC">
        <w:rPr>
          <w:rFonts w:ascii="Times New Roman" w:hAnsi="Times New Roman" w:cs="Times New Roman"/>
          <w:sz w:val="24"/>
          <w:szCs w:val="24"/>
        </w:rPr>
        <w:t xml:space="preserve"> </w:t>
      </w:r>
      <w:r w:rsidR="00FB3E4A">
        <w:rPr>
          <w:rFonts w:ascii="Times New Roman" w:hAnsi="Times New Roman" w:cs="Times New Roman"/>
          <w:sz w:val="24"/>
          <w:szCs w:val="24"/>
        </w:rPr>
        <w:t>Y</w:t>
      </w:r>
      <w:r w:rsidR="00DC48BC">
        <w:rPr>
          <w:rFonts w:ascii="Times New Roman" w:hAnsi="Times New Roman" w:cs="Times New Roman"/>
          <w:sz w:val="24"/>
          <w:szCs w:val="24"/>
        </w:rPr>
        <w:t xml:space="preserve"> en qué consisten: </w:t>
      </w:r>
    </w:p>
    <w:p w:rsidR="00C1537C" w:rsidRPr="00D14FD0" w:rsidRDefault="00C31C0D" w:rsidP="00C31C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8C5028">
        <w:rPr>
          <w:rFonts w:ascii="Times New Roman" w:hAnsi="Times New Roman" w:cs="Times New Roman"/>
          <w:b/>
          <w:sz w:val="28"/>
          <w:szCs w:val="28"/>
          <w:lang w:val="es-ES"/>
        </w:rPr>
        <w:t>B.</w:t>
      </w:r>
      <w:r w:rsidR="00A94A4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C1537C" w:rsidRPr="008C5028">
        <w:rPr>
          <w:rFonts w:ascii="Times New Roman" w:hAnsi="Times New Roman" w:cs="Times New Roman"/>
          <w:b/>
          <w:sz w:val="28"/>
          <w:szCs w:val="28"/>
          <w:lang w:val="es-ES"/>
        </w:rPr>
        <w:t xml:space="preserve">Riesgo de </w:t>
      </w:r>
      <w:bookmarkEnd w:id="4"/>
      <w:bookmarkEnd w:id="5"/>
      <w:bookmarkEnd w:id="6"/>
      <w:r w:rsidR="0041099A">
        <w:rPr>
          <w:rFonts w:ascii="Times New Roman" w:hAnsi="Times New Roman" w:cs="Times New Roman"/>
          <w:b/>
          <w:sz w:val="28"/>
          <w:szCs w:val="28"/>
          <w:lang w:val="es-ES"/>
        </w:rPr>
        <w:t>Crédito</w:t>
      </w:r>
    </w:p>
    <w:p w:rsidR="003D42CB" w:rsidRDefault="00FB3E4A" w:rsidP="003D4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 riesgo se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46D0">
        <w:rPr>
          <w:rFonts w:ascii="Times New Roman" w:hAnsi="Times New Roman" w:cs="Times New Roman"/>
          <w:sz w:val="24"/>
          <w:szCs w:val="24"/>
          <w:lang w:val="es-ES"/>
        </w:rPr>
        <w:t>establece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>como la posibilidad de</w:t>
      </w:r>
      <w:r w:rsidR="00B86A3C">
        <w:rPr>
          <w:rFonts w:ascii="Times New Roman" w:hAnsi="Times New Roman" w:cs="Times New Roman"/>
          <w:sz w:val="24"/>
          <w:szCs w:val="24"/>
          <w:lang w:val="es-ES"/>
        </w:rPr>
        <w:t xml:space="preserve"> incurrir en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>pérdidas</w:t>
      </w:r>
      <w:r w:rsidR="004C4A38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46D0">
        <w:rPr>
          <w:rFonts w:ascii="Times New Roman" w:hAnsi="Times New Roman" w:cs="Times New Roman"/>
          <w:sz w:val="24"/>
          <w:szCs w:val="24"/>
          <w:lang w:val="es-ES"/>
        </w:rPr>
        <w:t xml:space="preserve">derivadas </w:t>
      </w:r>
      <w:r w:rsidR="000D4AA5" w:rsidRPr="00D14FD0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0E33D3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incumplimiento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pago 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>total o parcial de las obligaciones contractuales asumidas por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4A38" w:rsidRPr="00D14FD0">
        <w:rPr>
          <w:rFonts w:ascii="Times New Roman" w:hAnsi="Times New Roman" w:cs="Times New Roman"/>
          <w:sz w:val="24"/>
          <w:szCs w:val="24"/>
          <w:lang w:val="es-ES"/>
        </w:rPr>
        <w:t>una contraparte</w:t>
      </w:r>
      <w:r w:rsidR="000E33D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C4A38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cuando el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Instituto </w:t>
      </w:r>
      <w:r w:rsidR="004C4A38" w:rsidRPr="00D14FD0">
        <w:rPr>
          <w:rFonts w:ascii="Times New Roman" w:hAnsi="Times New Roman" w:cs="Times New Roman"/>
          <w:sz w:val="24"/>
          <w:szCs w:val="24"/>
          <w:lang w:val="es-ES"/>
        </w:rPr>
        <w:t>le otorg</w:t>
      </w:r>
      <w:r w:rsidR="000E33D3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4A38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265DCD" w:rsidRPr="00D14FD0">
        <w:rPr>
          <w:rFonts w:ascii="Times New Roman" w:hAnsi="Times New Roman" w:cs="Times New Roman"/>
          <w:sz w:val="24"/>
          <w:szCs w:val="24"/>
          <w:lang w:val="es-ES"/>
        </w:rPr>
        <w:t>conced</w:t>
      </w:r>
      <w:r w:rsidR="00265DCD">
        <w:rPr>
          <w:rFonts w:ascii="Times New Roman" w:hAnsi="Times New Roman" w:cs="Times New Roman"/>
          <w:sz w:val="24"/>
          <w:szCs w:val="24"/>
          <w:lang w:val="es-ES"/>
        </w:rPr>
        <w:t>ió</w:t>
      </w:r>
      <w:r w:rsidR="004C4A38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créditos a sus clientes o</w:t>
      </w:r>
      <w:r w:rsidR="00A94A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537C" w:rsidRPr="00D14FD0">
        <w:rPr>
          <w:rFonts w:ascii="Times New Roman" w:hAnsi="Times New Roman" w:cs="Times New Roman"/>
          <w:sz w:val="24"/>
          <w:szCs w:val="24"/>
          <w:lang w:val="es-ES"/>
        </w:rPr>
        <w:t>afiliados.</w:t>
      </w:r>
    </w:p>
    <w:p w:rsidR="00C31C0D" w:rsidRDefault="00C1537C" w:rsidP="003D4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14FD0">
        <w:rPr>
          <w:rFonts w:ascii="Times New Roman" w:hAnsi="Times New Roman" w:cs="Times New Roman"/>
          <w:sz w:val="24"/>
          <w:szCs w:val="24"/>
          <w:lang w:val="es-ES"/>
        </w:rPr>
        <w:t>Para la gestión del R</w:t>
      </w:r>
      <w:r w:rsidR="00632131"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iesgo de Crédito 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B3E4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B3E4A">
        <w:rPr>
          <w:rFonts w:ascii="Times New Roman" w:hAnsi="Times New Roman" w:cs="Times New Roman"/>
          <w:sz w:val="24"/>
          <w:szCs w:val="24"/>
          <w:lang w:val="es-ES"/>
        </w:rPr>
        <w:t>mpre se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establec</w:t>
      </w:r>
      <w:r w:rsidR="00FB3E4A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D14FD0">
        <w:rPr>
          <w:rFonts w:ascii="Times New Roman" w:hAnsi="Times New Roman" w:cs="Times New Roman"/>
          <w:sz w:val="24"/>
          <w:szCs w:val="24"/>
          <w:lang w:val="es-ES"/>
        </w:rPr>
        <w:t xml:space="preserve"> diversas metodologías de trabajo, las cuales abarcan las diferentes etapas del ciclo de gestión de riesgo, según el siguiente detalle:</w:t>
      </w:r>
    </w:p>
    <w:p w:rsidR="00DC48BC" w:rsidRDefault="00DC48BC" w:rsidP="003D4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C48BC" w:rsidRPr="00D14FD0" w:rsidRDefault="00DC48BC" w:rsidP="003D4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1537C" w:rsidRPr="00D14FD0" w:rsidRDefault="00C1537C" w:rsidP="00A661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FD0">
        <w:rPr>
          <w:rFonts w:ascii="Times New Roman" w:hAnsi="Times New Roman" w:cs="Times New Roman"/>
          <w:sz w:val="24"/>
          <w:szCs w:val="24"/>
          <w:u w:val="single"/>
        </w:rPr>
        <w:lastRenderedPageBreak/>
        <w:t>Metodologías para la Identificación y Medición del Riesgo Crediticio:</w:t>
      </w:r>
    </w:p>
    <w:p w:rsidR="00C1537C" w:rsidRDefault="00C1537C" w:rsidP="00A6611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Establecimiento de Reservas </w:t>
      </w:r>
      <w:r w:rsidR="00FB3E4A">
        <w:rPr>
          <w:rFonts w:ascii="Times New Roman" w:hAnsi="Times New Roman" w:cs="Times New Roman"/>
          <w:sz w:val="24"/>
          <w:szCs w:val="24"/>
        </w:rPr>
        <w:t>de saneamiento (Voluntarias o Preventivas)</w:t>
      </w:r>
    </w:p>
    <w:p w:rsidR="00C1537C" w:rsidRDefault="00C1537C" w:rsidP="00A6611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>Análisis de Concentración Crediticia.</w:t>
      </w:r>
    </w:p>
    <w:p w:rsidR="00E73663" w:rsidRPr="00D14FD0" w:rsidRDefault="00E73663" w:rsidP="00E73663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37C" w:rsidRPr="00D14FD0" w:rsidRDefault="00C1537C" w:rsidP="00A66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FD0">
        <w:rPr>
          <w:rFonts w:ascii="Times New Roman" w:hAnsi="Times New Roman" w:cs="Times New Roman"/>
          <w:sz w:val="24"/>
          <w:szCs w:val="24"/>
          <w:u w:val="single"/>
        </w:rPr>
        <w:t>Metodologías para Control y Mitigación del Riesgo Crediticio:</w:t>
      </w:r>
    </w:p>
    <w:p w:rsidR="00265DCD" w:rsidRDefault="00C1537C" w:rsidP="00A6611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CD">
        <w:rPr>
          <w:rFonts w:ascii="Times New Roman" w:hAnsi="Times New Roman" w:cs="Times New Roman"/>
          <w:sz w:val="24"/>
          <w:szCs w:val="24"/>
        </w:rPr>
        <w:t xml:space="preserve">Elaboración y Análisis de Matrices de Transición </w:t>
      </w:r>
    </w:p>
    <w:p w:rsidR="00C1537C" w:rsidRDefault="00C1537C" w:rsidP="00A6611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CD">
        <w:rPr>
          <w:rFonts w:ascii="Times New Roman" w:hAnsi="Times New Roman" w:cs="Times New Roman"/>
          <w:sz w:val="24"/>
          <w:szCs w:val="24"/>
        </w:rPr>
        <w:t>Supervisión a la Calificación y Clasificación de la Cartera de Crédito.</w:t>
      </w:r>
    </w:p>
    <w:p w:rsidR="001B0FF6" w:rsidRPr="00265DCD" w:rsidRDefault="001B0FF6" w:rsidP="001B0FF6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DCD" w:rsidRDefault="00265DCD" w:rsidP="00A66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37C" w:rsidRPr="00D14FD0" w:rsidRDefault="00C1537C" w:rsidP="00A66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FD0">
        <w:rPr>
          <w:rFonts w:ascii="Times New Roman" w:hAnsi="Times New Roman" w:cs="Times New Roman"/>
          <w:sz w:val="24"/>
          <w:szCs w:val="24"/>
          <w:u w:val="single"/>
        </w:rPr>
        <w:t>Metodologías para Monitoreo y Comunicación del Riesgo Crediticio:</w:t>
      </w:r>
    </w:p>
    <w:p w:rsidR="00C1537C" w:rsidRPr="00D14FD0" w:rsidRDefault="00C1537C" w:rsidP="00A6611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Remisión </w:t>
      </w:r>
      <w:r w:rsidR="00A84E2F">
        <w:rPr>
          <w:rFonts w:ascii="Times New Roman" w:hAnsi="Times New Roman" w:cs="Times New Roman"/>
          <w:sz w:val="24"/>
          <w:szCs w:val="24"/>
        </w:rPr>
        <w:t xml:space="preserve">Mensual </w:t>
      </w:r>
      <w:r w:rsidRPr="00D14FD0">
        <w:rPr>
          <w:rFonts w:ascii="Times New Roman" w:hAnsi="Times New Roman" w:cs="Times New Roman"/>
          <w:sz w:val="24"/>
          <w:szCs w:val="24"/>
        </w:rPr>
        <w:t>de</w:t>
      </w:r>
      <w:r w:rsidR="00A84E2F">
        <w:rPr>
          <w:rFonts w:ascii="Times New Roman" w:hAnsi="Times New Roman" w:cs="Times New Roman"/>
          <w:sz w:val="24"/>
          <w:szCs w:val="24"/>
        </w:rPr>
        <w:t xml:space="preserve"> la </w:t>
      </w:r>
      <w:r w:rsidRPr="00D14FD0">
        <w:rPr>
          <w:rFonts w:ascii="Times New Roman" w:hAnsi="Times New Roman" w:cs="Times New Roman"/>
          <w:sz w:val="24"/>
          <w:szCs w:val="24"/>
        </w:rPr>
        <w:t>Información Crediticia a la Central de Riesgo de la Superintendencia del Sistema Financiero (SSF).</w:t>
      </w:r>
      <w:r w:rsidR="000E33D3">
        <w:rPr>
          <w:rFonts w:ascii="Times New Roman" w:hAnsi="Times New Roman" w:cs="Times New Roman"/>
          <w:sz w:val="24"/>
          <w:szCs w:val="24"/>
        </w:rPr>
        <w:t xml:space="preserve"> </w:t>
      </w:r>
      <w:r w:rsidR="00B31F27">
        <w:rPr>
          <w:rFonts w:ascii="Times New Roman" w:hAnsi="Times New Roman" w:cs="Times New Roman"/>
          <w:sz w:val="24"/>
          <w:szCs w:val="24"/>
        </w:rPr>
        <w:t>Cartera General de Prestamos.</w:t>
      </w:r>
    </w:p>
    <w:p w:rsidR="00C1537C" w:rsidRDefault="00C1537C" w:rsidP="00A6611C">
      <w:pPr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Dicha metodología fue </w:t>
      </w:r>
      <w:r w:rsidR="004D2F29" w:rsidRPr="00D14FD0">
        <w:rPr>
          <w:rFonts w:ascii="Times New Roman" w:hAnsi="Times New Roman" w:cs="Times New Roman"/>
          <w:sz w:val="24"/>
          <w:szCs w:val="24"/>
        </w:rPr>
        <w:t>aprobada</w:t>
      </w:r>
      <w:r w:rsidRPr="00D14FD0">
        <w:rPr>
          <w:rFonts w:ascii="Times New Roman" w:hAnsi="Times New Roman" w:cs="Times New Roman"/>
          <w:sz w:val="24"/>
          <w:szCs w:val="24"/>
        </w:rPr>
        <w:t xml:space="preserve"> por el </w:t>
      </w:r>
      <w:r w:rsidR="007D72F3">
        <w:rPr>
          <w:rFonts w:ascii="Times New Roman" w:hAnsi="Times New Roman" w:cs="Times New Roman"/>
          <w:sz w:val="24"/>
          <w:szCs w:val="24"/>
        </w:rPr>
        <w:t>H</w:t>
      </w:r>
      <w:r w:rsidRPr="00D14FD0">
        <w:rPr>
          <w:rFonts w:ascii="Times New Roman" w:hAnsi="Times New Roman" w:cs="Times New Roman"/>
          <w:sz w:val="24"/>
          <w:szCs w:val="24"/>
        </w:rPr>
        <w:t>onorable Consejo Directivo, mediante Resolución No. 176, de sesión CD 23/2012 de fecha 15/jun./2012.</w:t>
      </w:r>
    </w:p>
    <w:p w:rsidR="00C05556" w:rsidRPr="00936C6A" w:rsidRDefault="008A26C8" w:rsidP="00A66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6A">
        <w:rPr>
          <w:rFonts w:ascii="Times New Roman" w:hAnsi="Times New Roman" w:cs="Times New Roman"/>
          <w:b/>
          <w:sz w:val="28"/>
          <w:szCs w:val="28"/>
        </w:rPr>
        <w:t>C</w:t>
      </w:r>
      <w:r w:rsidR="00C31C0D" w:rsidRPr="00936C6A">
        <w:rPr>
          <w:rFonts w:ascii="Times New Roman" w:hAnsi="Times New Roman" w:cs="Times New Roman"/>
          <w:b/>
          <w:sz w:val="28"/>
          <w:szCs w:val="28"/>
        </w:rPr>
        <w:t>.</w:t>
      </w:r>
      <w:r w:rsidR="00A1571F" w:rsidRPr="0093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C0D" w:rsidRPr="00936C6A">
        <w:rPr>
          <w:rFonts w:ascii="Times New Roman" w:hAnsi="Times New Roman" w:cs="Times New Roman"/>
          <w:b/>
          <w:sz w:val="28"/>
          <w:szCs w:val="28"/>
        </w:rPr>
        <w:t>Riesgo</w:t>
      </w:r>
      <w:r w:rsidR="00C05556" w:rsidRPr="00936C6A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A6611C" w:rsidRPr="00936C6A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C05556" w:rsidRPr="00936C6A">
        <w:rPr>
          <w:rFonts w:ascii="Times New Roman" w:hAnsi="Times New Roman" w:cs="Times New Roman"/>
          <w:b/>
          <w:sz w:val="28"/>
          <w:szCs w:val="28"/>
        </w:rPr>
        <w:t>iquidez</w:t>
      </w:r>
    </w:p>
    <w:p w:rsidR="00B31F27" w:rsidRDefault="000E5503" w:rsidP="00A66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riesgo c</w:t>
      </w:r>
      <w:r w:rsidR="00C05556" w:rsidRPr="00D14FD0">
        <w:rPr>
          <w:rFonts w:ascii="Times New Roman" w:hAnsi="Times New Roman" w:cs="Times New Roman"/>
          <w:sz w:val="24"/>
          <w:szCs w:val="24"/>
        </w:rPr>
        <w:t xml:space="preserve">onsiste </w:t>
      </w:r>
      <w:r w:rsidR="00375217" w:rsidRPr="00D14FD0">
        <w:rPr>
          <w:rFonts w:ascii="Times New Roman" w:hAnsi="Times New Roman" w:cs="Times New Roman"/>
          <w:sz w:val="24"/>
          <w:szCs w:val="24"/>
        </w:rPr>
        <w:t xml:space="preserve">en la posibilidad de incurrir en </w:t>
      </w:r>
      <w:r w:rsidR="00506A16" w:rsidRPr="00D14FD0">
        <w:rPr>
          <w:rFonts w:ascii="Times New Roman" w:hAnsi="Times New Roman" w:cs="Times New Roman"/>
          <w:sz w:val="24"/>
          <w:szCs w:val="24"/>
        </w:rPr>
        <w:t>pérdidas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="00375217" w:rsidRPr="00D14FD0">
        <w:rPr>
          <w:rFonts w:ascii="Times New Roman" w:hAnsi="Times New Roman" w:cs="Times New Roman"/>
          <w:sz w:val="24"/>
          <w:szCs w:val="24"/>
        </w:rPr>
        <w:t xml:space="preserve"> por no disponer de </w:t>
      </w:r>
      <w:r w:rsidR="00506A16" w:rsidRPr="00D14FD0">
        <w:rPr>
          <w:rFonts w:ascii="Times New Roman" w:hAnsi="Times New Roman" w:cs="Times New Roman"/>
          <w:sz w:val="24"/>
          <w:szCs w:val="24"/>
        </w:rPr>
        <w:t>los recursos financieros suficientes</w:t>
      </w:r>
      <w:r w:rsidR="00D525DF" w:rsidRPr="00D14FD0">
        <w:rPr>
          <w:rFonts w:ascii="Times New Roman" w:hAnsi="Times New Roman" w:cs="Times New Roman"/>
          <w:sz w:val="24"/>
          <w:szCs w:val="24"/>
        </w:rPr>
        <w:t xml:space="preserve"> y necesarios </w:t>
      </w:r>
      <w:r w:rsidR="00506A16" w:rsidRPr="00D14FD0">
        <w:rPr>
          <w:rFonts w:ascii="Times New Roman" w:hAnsi="Times New Roman" w:cs="Times New Roman"/>
          <w:sz w:val="24"/>
          <w:szCs w:val="24"/>
        </w:rPr>
        <w:t xml:space="preserve">para cumplir de manera plena y oportuna </w:t>
      </w:r>
      <w:r w:rsidR="0094605E">
        <w:rPr>
          <w:rFonts w:ascii="Times New Roman" w:hAnsi="Times New Roman" w:cs="Times New Roman"/>
          <w:sz w:val="24"/>
          <w:szCs w:val="24"/>
        </w:rPr>
        <w:t xml:space="preserve">a </w:t>
      </w:r>
      <w:r w:rsidR="00506A16" w:rsidRPr="00D14FD0">
        <w:rPr>
          <w:rFonts w:ascii="Times New Roman" w:hAnsi="Times New Roman" w:cs="Times New Roman"/>
          <w:sz w:val="24"/>
          <w:szCs w:val="24"/>
        </w:rPr>
        <w:t>las obligaciones asumidas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="00506A16" w:rsidRPr="00D14FD0">
        <w:rPr>
          <w:rFonts w:ascii="Times New Roman" w:hAnsi="Times New Roman" w:cs="Times New Roman"/>
          <w:sz w:val="24"/>
          <w:szCs w:val="24"/>
        </w:rPr>
        <w:t xml:space="preserve"> en las fechas correspondientes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="00506A16" w:rsidRPr="00D14FD0">
        <w:rPr>
          <w:rFonts w:ascii="Times New Roman" w:hAnsi="Times New Roman" w:cs="Times New Roman"/>
          <w:sz w:val="24"/>
          <w:szCs w:val="24"/>
        </w:rPr>
        <w:t xml:space="preserve"> debido a la insuficiencia de recursos líquidos e incurrir en costos excesivos. </w:t>
      </w:r>
    </w:p>
    <w:p w:rsidR="00C05556" w:rsidRDefault="00506A16" w:rsidP="00A66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El riesgo de </w:t>
      </w:r>
      <w:r w:rsidR="00EC095C">
        <w:rPr>
          <w:rFonts w:ascii="Times New Roman" w:hAnsi="Times New Roman" w:cs="Times New Roman"/>
          <w:b/>
          <w:sz w:val="24"/>
          <w:szCs w:val="24"/>
        </w:rPr>
        <w:t>LIQUIDEZ SE TRADUCE EN NO CONTAR CON LOS RECURSOS FINANCIEROS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5C">
        <w:rPr>
          <w:rFonts w:ascii="Times New Roman" w:hAnsi="Times New Roman" w:cs="Times New Roman"/>
          <w:b/>
          <w:sz w:val="24"/>
          <w:szCs w:val="24"/>
        </w:rPr>
        <w:t>LIQUIDOS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5C">
        <w:rPr>
          <w:rFonts w:ascii="Times New Roman" w:hAnsi="Times New Roman" w:cs="Times New Roman"/>
          <w:b/>
          <w:sz w:val="24"/>
          <w:szCs w:val="24"/>
        </w:rPr>
        <w:t>PARA RESPONDER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5C">
        <w:rPr>
          <w:rFonts w:ascii="Times New Roman" w:hAnsi="Times New Roman" w:cs="Times New Roman"/>
          <w:b/>
          <w:sz w:val="24"/>
          <w:szCs w:val="24"/>
        </w:rPr>
        <w:t>LAS OBLIGACIONES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5C">
        <w:rPr>
          <w:rFonts w:ascii="Times New Roman" w:hAnsi="Times New Roman" w:cs="Times New Roman"/>
          <w:b/>
          <w:sz w:val="24"/>
          <w:szCs w:val="24"/>
        </w:rPr>
        <w:t>CON TERCEROS.</w:t>
      </w:r>
    </w:p>
    <w:p w:rsidR="00E820FB" w:rsidRPr="00BD55E1" w:rsidRDefault="00E820FB" w:rsidP="00A661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E1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1416D7">
        <w:rPr>
          <w:rFonts w:ascii="Times New Roman" w:hAnsi="Times New Roman" w:cs="Times New Roman"/>
          <w:b/>
          <w:sz w:val="24"/>
          <w:szCs w:val="24"/>
        </w:rPr>
        <w:t>M</w:t>
      </w:r>
      <w:r w:rsidRPr="00BD55E1">
        <w:rPr>
          <w:rFonts w:ascii="Times New Roman" w:hAnsi="Times New Roman" w:cs="Times New Roman"/>
          <w:b/>
          <w:sz w:val="24"/>
          <w:szCs w:val="24"/>
        </w:rPr>
        <w:t>itigar este Riesgo</w:t>
      </w:r>
      <w:r w:rsidR="001416D7">
        <w:rPr>
          <w:rFonts w:ascii="Times New Roman" w:hAnsi="Times New Roman" w:cs="Times New Roman"/>
          <w:b/>
          <w:sz w:val="24"/>
          <w:szCs w:val="24"/>
        </w:rPr>
        <w:t xml:space="preserve">  el  Honorable Consejo Directivo y La Gerencia General, para cumplir sus compromisos de pago </w:t>
      </w:r>
      <w:r w:rsidR="003B128D">
        <w:rPr>
          <w:rFonts w:ascii="Times New Roman" w:hAnsi="Times New Roman" w:cs="Times New Roman"/>
          <w:b/>
          <w:sz w:val="24"/>
          <w:szCs w:val="24"/>
        </w:rPr>
        <w:t>se efectuaron gestiones con la Asamblea Legislativa y el Ministerio de Hacienda solicitando el apoyo de los recursos financieros para cubrir el déficit de pensiones</w:t>
      </w:r>
      <w:r w:rsidRPr="00BD55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7685">
        <w:rPr>
          <w:rFonts w:ascii="Times New Roman" w:hAnsi="Times New Roman" w:cs="Times New Roman"/>
          <w:b/>
          <w:sz w:val="24"/>
          <w:szCs w:val="24"/>
        </w:rPr>
        <w:t>y poder efectuar los pagos</w:t>
      </w:r>
      <w:r w:rsidR="000E33D3" w:rsidRPr="00BD55E1">
        <w:rPr>
          <w:rFonts w:ascii="Times New Roman" w:hAnsi="Times New Roman" w:cs="Times New Roman"/>
          <w:b/>
          <w:sz w:val="24"/>
          <w:szCs w:val="24"/>
        </w:rPr>
        <w:t>.</w:t>
      </w:r>
    </w:p>
    <w:p w:rsidR="00A84E2F" w:rsidRPr="00A84E2F" w:rsidRDefault="00A84E2F" w:rsidP="00F47EC0">
      <w:pPr>
        <w:keepNext/>
        <w:spacing w:before="360" w:after="24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A84E2F">
        <w:rPr>
          <w:rFonts w:ascii="Times New Roman" w:eastAsia="Times New Roman" w:hAnsi="Times New Roman" w:cs="Times New Roman"/>
          <w:b/>
          <w:bCs/>
          <w:sz w:val="24"/>
          <w:szCs w:val="28"/>
          <w:lang w:val="es-ES" w:eastAsia="es-ES"/>
        </w:rPr>
        <w:t xml:space="preserve"> </w:t>
      </w:r>
      <w:r w:rsidRPr="00F47EC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>METODOLOGÍA</w:t>
      </w:r>
      <w:r w:rsidR="00A94A4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 xml:space="preserve"> </w:t>
      </w:r>
      <w:r w:rsidRPr="00F47EC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>PARA LA GESTIÓN</w:t>
      </w:r>
      <w:r w:rsidR="00A94A4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 xml:space="preserve"> </w:t>
      </w:r>
      <w:r w:rsidRPr="00F47EC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>DEL RIESGO</w:t>
      </w:r>
      <w:r w:rsidR="00A94A4B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 xml:space="preserve"> </w:t>
      </w:r>
      <w:r w:rsidRPr="00F47EC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es-ES" w:eastAsia="es-ES"/>
        </w:rPr>
        <w:t>DE LIQUIDEZ</w:t>
      </w:r>
      <w:r w:rsidRPr="00A84E2F">
        <w:rPr>
          <w:rFonts w:ascii="Times New Roman" w:eastAsia="Times New Roman" w:hAnsi="Times New Roman" w:cs="Times New Roman"/>
          <w:b/>
          <w:bCs/>
          <w:sz w:val="24"/>
          <w:szCs w:val="28"/>
          <w:lang w:val="es-ES" w:eastAsia="es-ES"/>
        </w:rPr>
        <w:t>:</w:t>
      </w:r>
    </w:p>
    <w:p w:rsidR="00A84E2F" w:rsidRPr="00A84E2F" w:rsidRDefault="00A84E2F" w:rsidP="00A84E2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84E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ANÁLISIS</w:t>
      </w:r>
      <w:r w:rsidR="00A94A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Y</w:t>
      </w:r>
      <w:r w:rsidR="00A94A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CONSIDERACIONES DE LA BRECHA DE LIQUIDEZ </w:t>
      </w:r>
    </w:p>
    <w:p w:rsidR="00A84E2F" w:rsidRPr="00A84E2F" w:rsidRDefault="00A84E2F" w:rsidP="00A84E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el desarrollo de la presente metodología se considera establecer mecanismos de control en escenarios normales y extremos, así como la posibilidad de conseguir recursos líquidos</w:t>
      </w:r>
      <w:r w:rsidR="00A94A4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frescos por medio de ventas de </w:t>
      </w:r>
      <w:r w:rsidR="004461A3"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activos,</w:t>
      </w:r>
      <w:r w:rsidR="00A94A4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4605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inversión en </w:t>
      </w:r>
      <w:r w:rsidR="00265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préstamos y solicitud</w:t>
      </w:r>
      <w:r w:rsidR="001B0FF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fondos al Gobierno C</w:t>
      </w:r>
      <w:r w:rsidR="00265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="001B0FF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ntral</w:t>
      </w:r>
      <w:r w:rsidR="00265DC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84E2F" w:rsidRPr="00A84E2F" w:rsidRDefault="00A84E2F" w:rsidP="00A84E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Debido a la importancia fundamental que representa la liquidez para el instituto, la cual se convierte en el eje principal que mueve </w:t>
      </w:r>
      <w:r w:rsidR="000E33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la </w:t>
      </w: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institución, en la metodología hay que hacer las siguientes consideraciones: </w:t>
      </w:r>
    </w:p>
    <w:p w:rsidR="00E820FB" w:rsidRDefault="00E820FB" w:rsidP="00E820FB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820FB" w:rsidRDefault="00E820FB" w:rsidP="00E820FB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84E2F" w:rsidRPr="00A84E2F" w:rsidRDefault="00A84E2F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escenario para el análisis de la brecha de liquidez aplicable al instituto</w:t>
      </w:r>
      <w:r w:rsidR="00E820F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</w:t>
      </w:r>
      <w:r w:rsidR="00A94A4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su naturaleza será el Análisis Dinámico.</w:t>
      </w:r>
    </w:p>
    <w:p w:rsidR="00A84E2F" w:rsidRPr="00A84E2F" w:rsidRDefault="00A84E2F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Establecimiento de los límites mínimos de liquidez neta acumulada, en el cual se genera el descalce negativo a un máximo de 30 días </w:t>
      </w:r>
    </w:p>
    <w:p w:rsidR="00A84E2F" w:rsidRPr="00A84E2F" w:rsidRDefault="00A84E2F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Establecer el límite de la liquidez neta acumulada total para el cumplimiento de los compromisos.</w:t>
      </w:r>
    </w:p>
    <w:p w:rsidR="00A84E2F" w:rsidRDefault="00F47EC0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Analizar y e</w:t>
      </w:r>
      <w:r w:rsidR="00A84E2F"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>vitar la venta precipitada de los activos que generen utilidad.</w:t>
      </w:r>
    </w:p>
    <w:p w:rsidR="00A84E2F" w:rsidRPr="00A84E2F" w:rsidRDefault="00F47EC0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Agilizar la v</w:t>
      </w:r>
      <w:r w:rsidR="00A84E2F"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ta de</w:t>
      </w:r>
      <w:r w:rsidR="00A94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84E2F"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>aquellos activos que generen pérdida.</w:t>
      </w:r>
    </w:p>
    <w:p w:rsidR="008749FE" w:rsidRDefault="008749FE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Solicitar apoyo financiero a la Asamblea Legislativa y</w:t>
      </w:r>
      <w:r w:rsidR="00A94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Gobierno Central </w:t>
      </w:r>
    </w:p>
    <w:p w:rsidR="00A84E2F" w:rsidRDefault="00A84E2F" w:rsidP="00A84E2F">
      <w:pPr>
        <w:numPr>
          <w:ilvl w:val="1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>Demostrar a nuestros clientes</w:t>
      </w:r>
      <w:r w:rsidRPr="00A84E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el instituto es una institución </w:t>
      </w:r>
      <w:r w:rsidR="00217685"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>segura, sólida</w:t>
      </w:r>
      <w:r w:rsidR="002176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que </w:t>
      </w:r>
      <w:r w:rsidR="0094605E">
        <w:rPr>
          <w:rFonts w:ascii="Times New Roman" w:eastAsia="Times New Roman" w:hAnsi="Times New Roman" w:cs="Times New Roman"/>
          <w:sz w:val="24"/>
          <w:szCs w:val="24"/>
          <w:lang w:eastAsia="es-ES"/>
        </w:rPr>
        <w:t>trata la forma de</w:t>
      </w:r>
      <w:r w:rsidR="00A94A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>hacer</w:t>
      </w:r>
      <w:r w:rsidR="0094605E">
        <w:rPr>
          <w:rFonts w:ascii="Times New Roman" w:eastAsia="Times New Roman" w:hAnsi="Times New Roman" w:cs="Times New Roman"/>
          <w:sz w:val="24"/>
          <w:szCs w:val="24"/>
          <w:lang w:eastAsia="es-ES"/>
        </w:rPr>
        <w:t>le</w:t>
      </w:r>
      <w:r w:rsidRPr="00A84E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frente a sus obligaciones, aun de lo adverso de los elementos externos e internos que afecten la liquidez. </w:t>
      </w:r>
    </w:p>
    <w:p w:rsidR="00E820FB" w:rsidRPr="00A84E2F" w:rsidRDefault="00E820FB" w:rsidP="00E820FB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0FF6" w:rsidRPr="001B0FF6" w:rsidRDefault="00D525DF" w:rsidP="001B0F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Para_el_cálculo"/>
      <w:bookmarkEnd w:id="7"/>
      <w:r w:rsidRPr="00D1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b/>
          <w:sz w:val="24"/>
          <w:szCs w:val="24"/>
        </w:rPr>
        <w:t xml:space="preserve">Proyecciones </w:t>
      </w:r>
      <w:r w:rsidR="001B0FF6" w:rsidRPr="001B0FF6">
        <w:rPr>
          <w:rFonts w:ascii="Times New Roman" w:hAnsi="Times New Roman" w:cs="Times New Roman"/>
          <w:b/>
          <w:sz w:val="24"/>
          <w:szCs w:val="24"/>
        </w:rPr>
        <w:t>Cálculo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F6" w:rsidRPr="001B0FF6">
        <w:rPr>
          <w:rFonts w:ascii="Times New Roman" w:hAnsi="Times New Roman" w:cs="Times New Roman"/>
          <w:b/>
          <w:sz w:val="24"/>
          <w:szCs w:val="24"/>
        </w:rPr>
        <w:t>y Análisis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F6" w:rsidRPr="001B0FF6">
        <w:rPr>
          <w:rFonts w:ascii="Times New Roman" w:hAnsi="Times New Roman" w:cs="Times New Roman"/>
          <w:b/>
          <w:sz w:val="24"/>
          <w:szCs w:val="24"/>
        </w:rPr>
        <w:t xml:space="preserve">de la  Liquidez </w:t>
      </w:r>
    </w:p>
    <w:p w:rsidR="001B0FF6" w:rsidRDefault="001B0FF6" w:rsidP="001B0FF6">
      <w:pPr>
        <w:jc w:val="both"/>
        <w:rPr>
          <w:rFonts w:ascii="Times New Roman" w:hAnsi="Times New Roman" w:cs="Times New Roman"/>
          <w:sz w:val="24"/>
          <w:szCs w:val="24"/>
        </w:rPr>
      </w:pPr>
      <w:r w:rsidRPr="001B0FF6">
        <w:rPr>
          <w:rFonts w:ascii="Times New Roman" w:hAnsi="Times New Roman" w:cs="Times New Roman"/>
          <w:sz w:val="24"/>
          <w:szCs w:val="24"/>
        </w:rPr>
        <w:t>Este modelo se utiliza para evaluar el riesgo de liquidez a que está expuesto el instituto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1B0FF6">
        <w:rPr>
          <w:rFonts w:ascii="Times New Roman" w:hAnsi="Times New Roman" w:cs="Times New Roman"/>
          <w:sz w:val="24"/>
          <w:szCs w:val="24"/>
        </w:rPr>
        <w:t>definiendo determinados periodos de tiempo o intervalos para su respectivo análisis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Pr="001B0FF6">
        <w:rPr>
          <w:rFonts w:ascii="Times New Roman" w:hAnsi="Times New Roman" w:cs="Times New Roman"/>
          <w:sz w:val="24"/>
          <w:szCs w:val="24"/>
        </w:rPr>
        <w:t xml:space="preserve"> en </w:t>
      </w:r>
      <w:r w:rsidR="000E33D3">
        <w:rPr>
          <w:rFonts w:ascii="Times New Roman" w:hAnsi="Times New Roman" w:cs="Times New Roman"/>
          <w:sz w:val="24"/>
          <w:szCs w:val="24"/>
        </w:rPr>
        <w:t>é</w:t>
      </w:r>
      <w:r w:rsidRPr="001B0FF6">
        <w:rPr>
          <w:rFonts w:ascii="Times New Roman" w:hAnsi="Times New Roman" w:cs="Times New Roman"/>
          <w:sz w:val="24"/>
          <w:szCs w:val="24"/>
        </w:rPr>
        <w:t xml:space="preserve">l </w:t>
      </w:r>
      <w:r w:rsidR="000E33D3">
        <w:rPr>
          <w:rFonts w:ascii="Times New Roman" w:hAnsi="Times New Roman" w:cs="Times New Roman"/>
          <w:sz w:val="24"/>
          <w:szCs w:val="24"/>
        </w:rPr>
        <w:t xml:space="preserve">se </w:t>
      </w:r>
      <w:r w:rsidRPr="001B0FF6">
        <w:rPr>
          <w:rFonts w:ascii="Times New Roman" w:hAnsi="Times New Roman" w:cs="Times New Roman"/>
          <w:sz w:val="24"/>
          <w:szCs w:val="24"/>
        </w:rPr>
        <w:t xml:space="preserve">establecen mecanismos de control en escenarios normales y extremos, así como la posibilidad de conseguir recursos líquidos frescos </w:t>
      </w:r>
      <w:r w:rsidR="00560645">
        <w:rPr>
          <w:rFonts w:ascii="Times New Roman" w:hAnsi="Times New Roman" w:cs="Times New Roman"/>
          <w:sz w:val="24"/>
          <w:szCs w:val="24"/>
        </w:rPr>
        <w:t xml:space="preserve">por medio de ventas de </w:t>
      </w:r>
      <w:r w:rsidR="00E820FB">
        <w:rPr>
          <w:rFonts w:ascii="Times New Roman" w:hAnsi="Times New Roman" w:cs="Times New Roman"/>
          <w:sz w:val="24"/>
          <w:szCs w:val="24"/>
        </w:rPr>
        <w:t>activos,</w:t>
      </w:r>
      <w:r w:rsidRPr="001B0FF6">
        <w:rPr>
          <w:rFonts w:ascii="Times New Roman" w:hAnsi="Times New Roman" w:cs="Times New Roman"/>
          <w:sz w:val="24"/>
          <w:szCs w:val="24"/>
        </w:rPr>
        <w:t xml:space="preserve"> préstamos</w:t>
      </w:r>
      <w:r w:rsidR="00560645">
        <w:rPr>
          <w:rFonts w:ascii="Times New Roman" w:hAnsi="Times New Roman" w:cs="Times New Roman"/>
          <w:sz w:val="24"/>
          <w:szCs w:val="24"/>
        </w:rPr>
        <w:t xml:space="preserve"> o aportaciones por parte del Gobierno Central</w:t>
      </w:r>
      <w:r w:rsidRPr="001B0FF6">
        <w:rPr>
          <w:rFonts w:ascii="Times New Roman" w:hAnsi="Times New Roman" w:cs="Times New Roman"/>
          <w:sz w:val="24"/>
          <w:szCs w:val="24"/>
        </w:rPr>
        <w:t>. Los intervalos  más utilizados son los siguientes:</w:t>
      </w:r>
    </w:p>
    <w:p w:rsidR="00D95994" w:rsidRPr="00D95994" w:rsidRDefault="00D95994" w:rsidP="00D95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val="es-ES"/>
        </w:rPr>
      </w:pPr>
      <w:r w:rsidRPr="00D95994">
        <w:rPr>
          <w:rFonts w:ascii="Times New Roman" w:hAnsi="Times New Roman" w:cs="Times New Roman"/>
          <w:b/>
          <w:bCs/>
          <w:sz w:val="24"/>
          <w:szCs w:val="24"/>
        </w:rPr>
        <w:t>Análisis Dinámico</w:t>
      </w:r>
    </w:p>
    <w:p w:rsidR="00D95994" w:rsidRDefault="00D95994" w:rsidP="00D95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es-ES"/>
        </w:rPr>
      </w:pPr>
      <w:r w:rsidRPr="00D95994">
        <w:rPr>
          <w:rFonts w:ascii="Times New Roman" w:eastAsia="Times New Roman" w:hAnsi="Times New Roman" w:cs="Times New Roman"/>
          <w:sz w:val="24"/>
          <w:szCs w:val="24"/>
          <w:lang w:val="es-ES"/>
        </w:rPr>
        <w:t>En este escenario se parte del análisis de liquidez esperad</w:t>
      </w:r>
      <w:r w:rsidR="000E33D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D959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además se incorporan elementos de proyecciones y de planificación financiera de la entidad</w:t>
      </w:r>
      <w:r w:rsidRPr="006B5827">
        <w:rPr>
          <w:rFonts w:ascii="Times New Roman" w:eastAsia="Times New Roman" w:hAnsi="Times New Roman" w:cs="Times New Roman"/>
          <w:color w:val="6E6E6E"/>
          <w:sz w:val="24"/>
          <w:szCs w:val="24"/>
          <w:lang w:val="es-ES"/>
        </w:rPr>
        <w:t>.</w:t>
      </w:r>
    </w:p>
    <w:p w:rsidR="00BD55E1" w:rsidRDefault="00D95994" w:rsidP="00D95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5994">
        <w:rPr>
          <w:rFonts w:ascii="Times New Roman" w:eastAsia="Times New Roman" w:hAnsi="Times New Roman" w:cs="Times New Roman"/>
          <w:sz w:val="24"/>
          <w:szCs w:val="24"/>
          <w:lang w:val="es-ES"/>
        </w:rPr>
        <w:t>También en este escenario, sobre los instrumentos financieros que</w:t>
      </w:r>
      <w:r w:rsidR="00E820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</w:t>
      </w:r>
      <w:r w:rsidRPr="00D959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aplique</w:t>
      </w:r>
      <w:r w:rsidR="00E820F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959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(cartera de crédito, inversiones, depósitos) se debe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D959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incluir como parte del flujo a los intereses por percibir o aquellos por cancelar.</w:t>
      </w:r>
    </w:p>
    <w:p w:rsidR="00FF3911" w:rsidRPr="00D95994" w:rsidRDefault="00FF3911" w:rsidP="00D959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01114" w:rsidRDefault="00B01114" w:rsidP="00A6611C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805" w:rsidRDefault="005B7429" w:rsidP="00A6611C">
      <w:pPr>
        <w:pStyle w:val="Prrafode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BC">
        <w:rPr>
          <w:rFonts w:ascii="Times New Roman" w:hAnsi="Times New Roman" w:cs="Times New Roman"/>
          <w:b/>
          <w:sz w:val="28"/>
          <w:szCs w:val="28"/>
        </w:rPr>
        <w:t xml:space="preserve">Pasos para calcular </w:t>
      </w:r>
      <w:r w:rsidR="003948BC" w:rsidRPr="003948BC">
        <w:rPr>
          <w:rFonts w:ascii="Times New Roman" w:hAnsi="Times New Roman" w:cs="Times New Roman"/>
          <w:b/>
          <w:sz w:val="28"/>
          <w:szCs w:val="28"/>
        </w:rPr>
        <w:t>la liquidez en riesgo</w:t>
      </w:r>
    </w:p>
    <w:p w:rsidR="003948BC" w:rsidRPr="00944CB5" w:rsidRDefault="003948BC" w:rsidP="00A6611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 xml:space="preserve">Calcular </w:t>
      </w:r>
      <w:r w:rsidR="000E33D3">
        <w:rPr>
          <w:rFonts w:ascii="Times New Roman" w:hAnsi="Times New Roman" w:cs="Times New Roman"/>
          <w:sz w:val="24"/>
          <w:szCs w:val="24"/>
        </w:rPr>
        <w:t xml:space="preserve">la </w:t>
      </w:r>
      <w:r w:rsidRPr="00944CB5">
        <w:rPr>
          <w:rFonts w:ascii="Times New Roman" w:hAnsi="Times New Roman" w:cs="Times New Roman"/>
          <w:sz w:val="24"/>
          <w:szCs w:val="24"/>
        </w:rPr>
        <w:t xml:space="preserve">brecha entre activos y pasivos </w:t>
      </w:r>
    </w:p>
    <w:p w:rsidR="003948BC" w:rsidRDefault="003948BC" w:rsidP="00A6611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 xml:space="preserve">Calcular </w:t>
      </w:r>
      <w:r w:rsidR="000E33D3">
        <w:rPr>
          <w:rFonts w:ascii="Times New Roman" w:hAnsi="Times New Roman" w:cs="Times New Roman"/>
          <w:sz w:val="24"/>
          <w:szCs w:val="24"/>
        </w:rPr>
        <w:t xml:space="preserve">la </w:t>
      </w:r>
      <w:r w:rsidRPr="00944CB5">
        <w:rPr>
          <w:rFonts w:ascii="Times New Roman" w:hAnsi="Times New Roman" w:cs="Times New Roman"/>
          <w:sz w:val="24"/>
          <w:szCs w:val="24"/>
        </w:rPr>
        <w:t>brecha de liquidez acumulada</w:t>
      </w:r>
    </w:p>
    <w:p w:rsidR="00944CB5" w:rsidRPr="00E820FB" w:rsidRDefault="003948BC" w:rsidP="00A6611C">
      <w:pPr>
        <w:pStyle w:val="Prrafodelista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944CB5">
        <w:rPr>
          <w:rFonts w:ascii="Times New Roman" w:hAnsi="Times New Roman" w:cs="Times New Roman"/>
          <w:sz w:val="24"/>
          <w:szCs w:val="24"/>
        </w:rPr>
        <w:lastRenderedPageBreak/>
        <w:t>Confrontar la brecha de liquidez acumulada en cada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944CB5">
        <w:rPr>
          <w:rFonts w:ascii="Times New Roman" w:hAnsi="Times New Roman" w:cs="Times New Roman"/>
          <w:sz w:val="24"/>
          <w:szCs w:val="24"/>
        </w:rPr>
        <w:t>banda con los activos líquidos. Si la brecha de liquidez acumulada es mayor que el activo liquido tendremos una LIQUIDEZ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944CB5">
        <w:rPr>
          <w:rFonts w:ascii="Times New Roman" w:hAnsi="Times New Roman" w:cs="Times New Roman"/>
          <w:sz w:val="24"/>
          <w:szCs w:val="24"/>
        </w:rPr>
        <w:t>EN RIESGO (LER)</w:t>
      </w:r>
    </w:p>
    <w:p w:rsidR="00E820FB" w:rsidRPr="004B1D83" w:rsidRDefault="00E820FB" w:rsidP="00E820FB">
      <w:pPr>
        <w:pStyle w:val="Prrafodelista"/>
        <w:ind w:left="1080"/>
        <w:jc w:val="both"/>
        <w:rPr>
          <w:b/>
          <w:bCs/>
          <w:sz w:val="28"/>
          <w:szCs w:val="28"/>
        </w:rPr>
      </w:pPr>
    </w:p>
    <w:p w:rsidR="00BD55E1" w:rsidRDefault="00A94A4B" w:rsidP="00D95994">
      <w:pPr>
        <w:pStyle w:val="Prrafodelista"/>
        <w:tabs>
          <w:tab w:val="center" w:pos="4844"/>
        </w:tabs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721996">
        <w:rPr>
          <w:b/>
          <w:bCs/>
          <w:sz w:val="28"/>
          <w:szCs w:val="28"/>
        </w:rPr>
        <w:tab/>
      </w:r>
    </w:p>
    <w:p w:rsidR="00886805" w:rsidRPr="003948BC" w:rsidRDefault="003948BC" w:rsidP="00D95994">
      <w:pPr>
        <w:pStyle w:val="Prrafodelista"/>
        <w:tabs>
          <w:tab w:val="center" w:pos="484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948BC">
        <w:rPr>
          <w:rFonts w:ascii="Times New Roman" w:hAnsi="Times New Roman" w:cs="Times New Roman"/>
          <w:b/>
          <w:sz w:val="28"/>
          <w:szCs w:val="28"/>
        </w:rPr>
        <w:t>Interpretación:</w:t>
      </w:r>
    </w:p>
    <w:p w:rsidR="00886805" w:rsidRDefault="00BD0B1C" w:rsidP="00A6611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</w:t>
      </w:r>
      <w:r w:rsidR="003948BC">
        <w:rPr>
          <w:rFonts w:ascii="Times New Roman" w:hAnsi="Times New Roman" w:cs="Times New Roman"/>
          <w:sz w:val="24"/>
          <w:szCs w:val="24"/>
        </w:rPr>
        <w:t xml:space="preserve"> la Brecha de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948BC">
        <w:rPr>
          <w:rFonts w:ascii="Times New Roman" w:hAnsi="Times New Roman" w:cs="Times New Roman"/>
          <w:sz w:val="24"/>
          <w:szCs w:val="24"/>
        </w:rPr>
        <w:t xml:space="preserve">iquidez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8BC">
        <w:rPr>
          <w:rFonts w:ascii="Times New Roman" w:hAnsi="Times New Roman" w:cs="Times New Roman"/>
          <w:sz w:val="24"/>
          <w:szCs w:val="24"/>
        </w:rPr>
        <w:t xml:space="preserve">cumulada </w:t>
      </w:r>
      <w:r>
        <w:rPr>
          <w:rFonts w:ascii="Times New Roman" w:hAnsi="Times New Roman" w:cs="Times New Roman"/>
          <w:sz w:val="24"/>
          <w:szCs w:val="24"/>
        </w:rPr>
        <w:t>es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</w:p>
    <w:p w:rsidR="00BD0B1C" w:rsidRDefault="00BD0B1C" w:rsidP="00A6611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 la Brecha de Liquidez Acumulada es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Cubierta por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</w:t>
      </w:r>
    </w:p>
    <w:p w:rsidR="008229D5" w:rsidRDefault="008229D5" w:rsidP="00A6611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86805" w:rsidRDefault="00BD0B1C" w:rsidP="00A6611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 la brecha de Liquidez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Acumulada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&lt;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Cubierta por AL¡¡¡ALERTA</w:t>
      </w:r>
      <w:r w:rsidR="00B01114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11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determina LIQUIDEZ EN RIESGO</w:t>
      </w:r>
    </w:p>
    <w:p w:rsidR="003D42CB" w:rsidRDefault="003D42CB" w:rsidP="00A6611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1571F" w:rsidRPr="00E820FB" w:rsidRDefault="00EB3E6D" w:rsidP="00A6611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752F8">
        <w:rPr>
          <w:rFonts w:ascii="Times New Roman" w:hAnsi="Times New Roman" w:cs="Times New Roman"/>
          <w:b/>
          <w:sz w:val="28"/>
          <w:szCs w:val="28"/>
        </w:rPr>
        <w:t>.</w:t>
      </w:r>
      <w:r w:rsidR="00A1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F8" w:rsidRPr="00E820FB">
        <w:rPr>
          <w:rFonts w:ascii="Times New Roman" w:hAnsi="Times New Roman" w:cs="Times New Roman"/>
          <w:b/>
          <w:sz w:val="28"/>
          <w:szCs w:val="28"/>
          <w:u w:val="single"/>
        </w:rPr>
        <w:t>Riesgo</w:t>
      </w:r>
      <w:r w:rsidR="000C292B" w:rsidRPr="00E82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Mercado</w:t>
      </w:r>
    </w:p>
    <w:p w:rsidR="006752F8" w:rsidRDefault="00B81964" w:rsidP="003B03EA">
      <w:pPr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>E</w:t>
      </w:r>
      <w:r w:rsidR="00F6310F" w:rsidRPr="00D14FD0">
        <w:rPr>
          <w:rFonts w:ascii="Times New Roman" w:hAnsi="Times New Roman" w:cs="Times New Roman"/>
          <w:sz w:val="24"/>
          <w:szCs w:val="24"/>
        </w:rPr>
        <w:t>ste consiste en la posibilidad de pérdida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="00F6310F" w:rsidRPr="00D14FD0">
        <w:rPr>
          <w:rFonts w:ascii="Times New Roman" w:hAnsi="Times New Roman" w:cs="Times New Roman"/>
          <w:sz w:val="24"/>
          <w:szCs w:val="24"/>
        </w:rPr>
        <w:t xml:space="preserve"> producto de la variación de los precios</w:t>
      </w:r>
      <w:r w:rsidR="003A5A03" w:rsidRPr="00D14FD0">
        <w:rPr>
          <w:rFonts w:ascii="Times New Roman" w:hAnsi="Times New Roman" w:cs="Times New Roman"/>
          <w:sz w:val="24"/>
          <w:szCs w:val="24"/>
        </w:rPr>
        <w:t xml:space="preserve"> y condiciones </w:t>
      </w:r>
      <w:r w:rsidR="00F6310F" w:rsidRPr="00D14FD0">
        <w:rPr>
          <w:rFonts w:ascii="Times New Roman" w:hAnsi="Times New Roman" w:cs="Times New Roman"/>
          <w:sz w:val="24"/>
          <w:szCs w:val="24"/>
        </w:rPr>
        <w:t>en el mercado por diferentes factores que generan cambios</w:t>
      </w:r>
      <w:r w:rsidR="003A5A03" w:rsidRPr="00D14FD0">
        <w:rPr>
          <w:rFonts w:ascii="Times New Roman" w:hAnsi="Times New Roman" w:cs="Times New Roman"/>
          <w:sz w:val="24"/>
          <w:szCs w:val="24"/>
        </w:rPr>
        <w:t xml:space="preserve"> y deterioro del valor de las posiciones de </w:t>
      </w:r>
      <w:r w:rsidR="003A5A03" w:rsidRPr="00385199">
        <w:rPr>
          <w:rFonts w:ascii="Times New Roman" w:hAnsi="Times New Roman" w:cs="Times New Roman"/>
          <w:sz w:val="24"/>
          <w:szCs w:val="24"/>
        </w:rPr>
        <w:t xml:space="preserve">mercado en la venta de </w:t>
      </w:r>
      <w:r w:rsidR="000313FC" w:rsidRPr="00385199">
        <w:rPr>
          <w:rFonts w:ascii="Times New Roman" w:hAnsi="Times New Roman" w:cs="Times New Roman"/>
          <w:sz w:val="24"/>
          <w:szCs w:val="24"/>
        </w:rPr>
        <w:t>productos, bienes</w:t>
      </w:r>
      <w:r w:rsidR="003A5A03" w:rsidRPr="00385199">
        <w:rPr>
          <w:rFonts w:ascii="Times New Roman" w:hAnsi="Times New Roman" w:cs="Times New Roman"/>
          <w:sz w:val="24"/>
          <w:szCs w:val="24"/>
        </w:rPr>
        <w:t xml:space="preserve"> y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3A5A03" w:rsidRPr="00385199">
        <w:rPr>
          <w:rFonts w:ascii="Times New Roman" w:hAnsi="Times New Roman" w:cs="Times New Roman"/>
          <w:sz w:val="24"/>
          <w:szCs w:val="24"/>
        </w:rPr>
        <w:t>servicios</w:t>
      </w:r>
      <w:r w:rsidR="000313FC" w:rsidRPr="00385199">
        <w:rPr>
          <w:rFonts w:ascii="Times New Roman" w:hAnsi="Times New Roman" w:cs="Times New Roman"/>
          <w:sz w:val="24"/>
          <w:szCs w:val="24"/>
        </w:rPr>
        <w:t>.</w:t>
      </w:r>
      <w:r w:rsidR="003A5A03" w:rsidRPr="0038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92B" w:rsidRPr="00385199" w:rsidRDefault="000C292B" w:rsidP="003B0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9">
        <w:rPr>
          <w:rFonts w:ascii="Times New Roman" w:hAnsi="Times New Roman" w:cs="Times New Roman"/>
          <w:b/>
          <w:sz w:val="28"/>
          <w:szCs w:val="28"/>
        </w:rPr>
        <w:t>Metodología para la Gestión del Riesgo de Mercado</w:t>
      </w:r>
    </w:p>
    <w:p w:rsidR="00E820FB" w:rsidRDefault="001E6B4C" w:rsidP="003B03EA">
      <w:pPr>
        <w:jc w:val="both"/>
        <w:rPr>
          <w:rFonts w:ascii="Times New Roman" w:hAnsi="Times New Roman" w:cs="Times New Roman"/>
          <w:sz w:val="24"/>
          <w:szCs w:val="24"/>
        </w:rPr>
      </w:pPr>
      <w:r w:rsidRPr="003B03EA">
        <w:rPr>
          <w:rFonts w:ascii="Times New Roman" w:hAnsi="Times New Roman" w:cs="Times New Roman"/>
          <w:sz w:val="24"/>
          <w:szCs w:val="24"/>
        </w:rPr>
        <w:t xml:space="preserve">Para el desarrollo de la metodología de </w:t>
      </w:r>
      <w:r w:rsidR="000E33D3">
        <w:rPr>
          <w:rFonts w:ascii="Times New Roman" w:hAnsi="Times New Roman" w:cs="Times New Roman"/>
          <w:sz w:val="24"/>
          <w:szCs w:val="24"/>
        </w:rPr>
        <w:t xml:space="preserve">gestión de </w:t>
      </w:r>
      <w:r w:rsidRPr="003B03EA">
        <w:rPr>
          <w:rFonts w:ascii="Times New Roman" w:hAnsi="Times New Roman" w:cs="Times New Roman"/>
          <w:sz w:val="24"/>
          <w:szCs w:val="24"/>
        </w:rPr>
        <w:t>este riesgo</w:t>
      </w:r>
      <w:r w:rsidR="000E33D3">
        <w:rPr>
          <w:rFonts w:ascii="Times New Roman" w:hAnsi="Times New Roman" w:cs="Times New Roman"/>
          <w:sz w:val="24"/>
          <w:szCs w:val="24"/>
        </w:rPr>
        <w:t>,</w:t>
      </w:r>
      <w:r w:rsidRPr="003B03EA">
        <w:rPr>
          <w:rFonts w:ascii="Times New Roman" w:hAnsi="Times New Roman" w:cs="Times New Roman"/>
          <w:sz w:val="24"/>
          <w:szCs w:val="24"/>
        </w:rPr>
        <w:t xml:space="preserve"> e</w:t>
      </w:r>
      <w:r w:rsidR="00BF41B1" w:rsidRPr="003B03EA">
        <w:rPr>
          <w:rFonts w:ascii="Times New Roman" w:hAnsi="Times New Roman" w:cs="Times New Roman"/>
          <w:sz w:val="24"/>
          <w:szCs w:val="24"/>
        </w:rPr>
        <w:t xml:space="preserve">s importante mencionar que todas las instituciones deben contar con un proceso continuo para poder </w:t>
      </w:r>
      <w:r w:rsidR="000E33D3">
        <w:rPr>
          <w:rFonts w:ascii="Times New Roman" w:hAnsi="Times New Roman" w:cs="Times New Roman"/>
          <w:sz w:val="24"/>
          <w:szCs w:val="24"/>
        </w:rPr>
        <w:t xml:space="preserve">desempeñarse </w:t>
      </w:r>
      <w:r w:rsidR="00BF41B1" w:rsidRPr="003B03EA">
        <w:rPr>
          <w:rFonts w:ascii="Times New Roman" w:hAnsi="Times New Roman" w:cs="Times New Roman"/>
          <w:sz w:val="24"/>
          <w:szCs w:val="24"/>
        </w:rPr>
        <w:t>en una forma eficiente y oportuna</w:t>
      </w:r>
      <w:r w:rsidR="00E820FB">
        <w:rPr>
          <w:rFonts w:ascii="Times New Roman" w:hAnsi="Times New Roman" w:cs="Times New Roman"/>
          <w:sz w:val="24"/>
          <w:szCs w:val="24"/>
        </w:rPr>
        <w:t>.</w:t>
      </w:r>
    </w:p>
    <w:p w:rsidR="004B1309" w:rsidRDefault="00E820FB" w:rsidP="003B0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BF41B1" w:rsidRPr="003B03EA">
        <w:rPr>
          <w:rFonts w:ascii="Times New Roman" w:hAnsi="Times New Roman" w:cs="Times New Roman"/>
          <w:sz w:val="24"/>
          <w:szCs w:val="24"/>
        </w:rPr>
        <w:t xml:space="preserve">la gestión integral de riesgos </w:t>
      </w:r>
      <w:r w:rsidR="007F699B" w:rsidRPr="003B03EA">
        <w:rPr>
          <w:rFonts w:ascii="Times New Roman" w:hAnsi="Times New Roman" w:cs="Times New Roman"/>
          <w:sz w:val="24"/>
          <w:szCs w:val="24"/>
        </w:rPr>
        <w:t xml:space="preserve">se debe tomar en cuenta </w:t>
      </w:r>
      <w:r w:rsidR="006E20A6" w:rsidRPr="003B03EA">
        <w:rPr>
          <w:rFonts w:ascii="Times New Roman" w:hAnsi="Times New Roman" w:cs="Times New Roman"/>
          <w:sz w:val="24"/>
          <w:szCs w:val="24"/>
        </w:rPr>
        <w:t>l</w:t>
      </w:r>
      <w:r w:rsidR="006752F8" w:rsidRPr="003B03EA">
        <w:rPr>
          <w:rFonts w:ascii="Times New Roman" w:hAnsi="Times New Roman" w:cs="Times New Roman"/>
          <w:sz w:val="24"/>
          <w:szCs w:val="24"/>
        </w:rPr>
        <w:t>os factores</w:t>
      </w:r>
      <w:r w:rsidR="006E20A6" w:rsidRPr="003B03EA">
        <w:rPr>
          <w:rFonts w:ascii="Times New Roman" w:hAnsi="Times New Roman" w:cs="Times New Roman"/>
          <w:sz w:val="24"/>
          <w:szCs w:val="24"/>
        </w:rPr>
        <w:t xml:space="preserve"> siguientes:</w:t>
      </w:r>
    </w:p>
    <w:p w:rsidR="004B1309" w:rsidRPr="006752F8" w:rsidRDefault="003B03EA" w:rsidP="00A6611C">
      <w:pPr>
        <w:pStyle w:val="Ttulo5"/>
        <w:keepLines w:val="0"/>
        <w:spacing w:before="0"/>
        <w:ind w:left="567" w:hanging="567"/>
        <w:jc w:val="both"/>
        <w:rPr>
          <w:rFonts w:eastAsia="Times New Roman"/>
          <w:b/>
          <w:bCs/>
          <w:color w:val="auto"/>
          <w:sz w:val="24"/>
          <w:szCs w:val="24"/>
          <w:lang w:val="es-ES"/>
        </w:rPr>
      </w:pPr>
      <w:r>
        <w:rPr>
          <w:rFonts w:eastAsia="Times New Roman"/>
          <w:b/>
          <w:bCs/>
          <w:color w:val="auto"/>
          <w:sz w:val="24"/>
          <w:szCs w:val="24"/>
          <w:lang w:val="es-ES"/>
        </w:rPr>
        <w:t xml:space="preserve"> </w:t>
      </w:r>
      <w:r w:rsidR="004B1309" w:rsidRPr="006752F8">
        <w:rPr>
          <w:rFonts w:eastAsia="Times New Roman"/>
          <w:b/>
          <w:bCs/>
          <w:color w:val="auto"/>
          <w:sz w:val="24"/>
          <w:szCs w:val="24"/>
          <w:lang w:val="es-ES"/>
        </w:rPr>
        <w:t>Factores de riesgo:</w:t>
      </w:r>
    </w:p>
    <w:p w:rsidR="004B1309" w:rsidRPr="000E33D3" w:rsidRDefault="004B1309" w:rsidP="000E33D3">
      <w:pPr>
        <w:jc w:val="both"/>
        <w:rPr>
          <w:rFonts w:ascii="Times New Roman" w:hAnsi="Times New Roman" w:cs="Times New Roman"/>
          <w:sz w:val="24"/>
          <w:szCs w:val="24"/>
        </w:rPr>
      </w:pPr>
      <w:r w:rsidRPr="000E33D3">
        <w:rPr>
          <w:rFonts w:ascii="Times New Roman" w:hAnsi="Times New Roman" w:cs="Times New Roman"/>
          <w:sz w:val="24"/>
          <w:szCs w:val="24"/>
        </w:rPr>
        <w:t>Se entenderá por factores de riesgo, las fuentes generadoras de eventos en las que se originan las pérdidas</w:t>
      </w:r>
      <w:r w:rsidR="00A94A4B" w:rsidRPr="000E33D3">
        <w:rPr>
          <w:rFonts w:ascii="Times New Roman" w:hAnsi="Times New Roman" w:cs="Times New Roman"/>
          <w:sz w:val="24"/>
          <w:szCs w:val="24"/>
        </w:rPr>
        <w:t xml:space="preserve"> </w:t>
      </w:r>
      <w:r w:rsidRPr="000E33D3">
        <w:rPr>
          <w:rFonts w:ascii="Times New Roman" w:hAnsi="Times New Roman" w:cs="Times New Roman"/>
          <w:sz w:val="24"/>
          <w:szCs w:val="24"/>
        </w:rPr>
        <w:t>financieras de Mercado. Los factores de riesgo se clasifican de la manera siguiente:</w:t>
      </w:r>
    </w:p>
    <w:p w:rsidR="004B1309" w:rsidRDefault="008A26C8" w:rsidP="003B03EA">
      <w:pPr>
        <w:pStyle w:val="Textoindependiente22"/>
        <w:spacing w:line="27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"/>
        </w:rPr>
        <w:t>A)-</w:t>
      </w:r>
      <w:r w:rsidR="004B1309" w:rsidRPr="006752F8">
        <w:rPr>
          <w:rFonts w:ascii="Times New Roman" w:hAnsi="Times New Roman"/>
          <w:b/>
          <w:sz w:val="24"/>
          <w:szCs w:val="24"/>
          <w:lang w:val="es-ES"/>
        </w:rPr>
        <w:t>Tipo de Interés</w:t>
      </w:r>
      <w:r w:rsidR="004B1309">
        <w:rPr>
          <w:rFonts w:ascii="Times New Roman" w:hAnsi="Times New Roman"/>
          <w:sz w:val="24"/>
          <w:szCs w:val="24"/>
          <w:lang w:val="es-ES"/>
        </w:rPr>
        <w:t>:</w:t>
      </w:r>
    </w:p>
    <w:p w:rsidR="004B1309" w:rsidRDefault="004B1309" w:rsidP="003B03EA">
      <w:pPr>
        <w:pStyle w:val="Textoindependiente22"/>
        <w:spacing w:line="27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Este factor consiste en la posibilidad </w:t>
      </w:r>
      <w:r w:rsidR="00D92229">
        <w:rPr>
          <w:rFonts w:ascii="Times New Roman" w:hAnsi="Times New Roman"/>
          <w:sz w:val="24"/>
          <w:szCs w:val="24"/>
          <w:lang w:val="es-ES_tradnl"/>
        </w:rPr>
        <w:t xml:space="preserve">de </w:t>
      </w:r>
      <w:r>
        <w:rPr>
          <w:rFonts w:ascii="Times New Roman" w:hAnsi="Times New Roman"/>
          <w:sz w:val="24"/>
          <w:szCs w:val="24"/>
          <w:lang w:val="es-ES_tradnl"/>
        </w:rPr>
        <w:t>que las</w:t>
      </w:r>
      <w:r w:rsidR="00A94A4B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variaciones en los tipos de interés</w:t>
      </w:r>
      <w:r w:rsidR="00D92229">
        <w:rPr>
          <w:rFonts w:ascii="Times New Roman" w:hAnsi="Times New Roman"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lang w:val="es-ES_tradnl"/>
        </w:rPr>
        <w:t xml:space="preserve"> puedan afectar de forma adversa la comercialización</w:t>
      </w:r>
      <w:r w:rsidR="00A94A4B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 un instrumento financiero o</w:t>
      </w:r>
      <w:r w:rsidR="00D9222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inmueble, a una cartera o al grupo en su </w:t>
      </w:r>
      <w:r w:rsidR="00E820FB">
        <w:rPr>
          <w:rFonts w:ascii="Times New Roman" w:hAnsi="Times New Roman"/>
          <w:sz w:val="24"/>
          <w:szCs w:val="24"/>
          <w:lang w:val="es-ES_tradnl"/>
        </w:rPr>
        <w:t>t</w:t>
      </w:r>
      <w:r w:rsidR="001879D9">
        <w:rPr>
          <w:rFonts w:ascii="Times New Roman" w:hAnsi="Times New Roman"/>
          <w:sz w:val="24"/>
          <w:szCs w:val="24"/>
          <w:lang w:val="es-ES_tradnl"/>
        </w:rPr>
        <w:t>otalidad</w:t>
      </w:r>
      <w:r>
        <w:rPr>
          <w:rFonts w:ascii="Times New Roman" w:hAnsi="Times New Roman"/>
          <w:sz w:val="24"/>
          <w:szCs w:val="24"/>
          <w:lang w:val="es-ES_tradnl"/>
        </w:rPr>
        <w:t xml:space="preserve"> puede afectar fuertemente entre otros a la cartera de</w:t>
      </w:r>
      <w:r w:rsidR="00A94A4B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los </w:t>
      </w:r>
      <w:r w:rsidR="006752F8">
        <w:rPr>
          <w:rFonts w:ascii="Times New Roman" w:hAnsi="Times New Roman"/>
          <w:sz w:val="24"/>
          <w:szCs w:val="24"/>
          <w:lang w:val="es-ES_tradnl"/>
        </w:rPr>
        <w:t>préstamos</w:t>
      </w:r>
      <w:r>
        <w:rPr>
          <w:rFonts w:ascii="Times New Roman" w:hAnsi="Times New Roman"/>
          <w:sz w:val="24"/>
          <w:szCs w:val="24"/>
          <w:lang w:val="es-ES_tradnl"/>
        </w:rPr>
        <w:t>, la mayoría de activos y pasivos de las cartera institucional</w:t>
      </w:r>
      <w:r w:rsidR="00A94A4B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 negociación, </w:t>
      </w:r>
      <w:r w:rsidR="00E820FB">
        <w:rPr>
          <w:rFonts w:ascii="Times New Roman" w:hAnsi="Times New Roman"/>
          <w:sz w:val="24"/>
          <w:szCs w:val="24"/>
          <w:lang w:val="es-ES_tradnl"/>
        </w:rPr>
        <w:t>así</w:t>
      </w:r>
      <w:r>
        <w:rPr>
          <w:rFonts w:ascii="Times New Roman" w:hAnsi="Times New Roman"/>
          <w:sz w:val="24"/>
          <w:szCs w:val="24"/>
          <w:lang w:val="es-ES_tradnl"/>
        </w:rPr>
        <w:t xml:space="preserve"> como sus derivados.</w:t>
      </w:r>
    </w:p>
    <w:p w:rsidR="004B1309" w:rsidRPr="006752F8" w:rsidRDefault="008A26C8" w:rsidP="003B03EA">
      <w:pPr>
        <w:pStyle w:val="Textoindependiente22"/>
        <w:spacing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B)</w:t>
      </w:r>
      <w:r w:rsidRPr="006752F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-</w:t>
      </w:r>
      <w:r w:rsidRPr="006752F8">
        <w:rPr>
          <w:rFonts w:ascii="Times New Roman" w:hAnsi="Times New Roman"/>
          <w:b/>
          <w:sz w:val="24"/>
          <w:szCs w:val="24"/>
          <w:lang w:val="es-ES"/>
        </w:rPr>
        <w:t>Tipo</w:t>
      </w:r>
      <w:r w:rsidR="004B1309" w:rsidRPr="006752F8">
        <w:rPr>
          <w:rFonts w:ascii="Times New Roman" w:hAnsi="Times New Roman"/>
          <w:b/>
          <w:sz w:val="24"/>
          <w:szCs w:val="24"/>
          <w:lang w:val="es-ES"/>
        </w:rPr>
        <w:t xml:space="preserve"> de cambio:</w:t>
      </w:r>
    </w:p>
    <w:p w:rsidR="004B1309" w:rsidRDefault="004B1309" w:rsidP="003B03EA">
      <w:pPr>
        <w:pStyle w:val="Textoindependiente22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Este factor se define como la sensibilidad por la pérdida o incremento</w:t>
      </w:r>
      <w:r w:rsidR="00A94A4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del valor de la posición en moneda distinta</w:t>
      </w:r>
      <w:r w:rsidR="00A94A4B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 la moneda base o un movimiento potencial de los tipos de cambio.</w:t>
      </w:r>
    </w:p>
    <w:p w:rsidR="00B01114" w:rsidRDefault="00B01114" w:rsidP="003B03EA">
      <w:pPr>
        <w:pStyle w:val="Textoindependiente22"/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4B1309" w:rsidRDefault="00A94A4B" w:rsidP="00BD55E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lang w:val="es-ES"/>
        </w:rPr>
        <w:t xml:space="preserve">  </w:t>
      </w:r>
      <w:r w:rsidR="008A26C8">
        <w:rPr>
          <w:b/>
          <w:lang w:val="es-ES"/>
        </w:rPr>
        <w:t xml:space="preserve"> </w:t>
      </w:r>
      <w:r w:rsidR="00B01114">
        <w:rPr>
          <w:b/>
          <w:lang w:val="es-ES"/>
        </w:rPr>
        <w:t>C</w:t>
      </w:r>
      <w:r w:rsidR="00C63438" w:rsidRPr="00D14FD0">
        <w:rPr>
          <w:rFonts w:ascii="Times New Roman" w:hAnsi="Times New Roman" w:cs="Times New Roman"/>
          <w:b/>
          <w:sz w:val="24"/>
          <w:szCs w:val="24"/>
          <w:lang w:val="es-ES"/>
        </w:rPr>
        <w:t xml:space="preserve">) </w:t>
      </w:r>
      <w:r w:rsidR="008A26C8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 w:rsidR="004B1309" w:rsidRPr="00D14FD0">
        <w:rPr>
          <w:rFonts w:ascii="Times New Roman" w:hAnsi="Times New Roman" w:cs="Times New Roman"/>
          <w:b/>
          <w:sz w:val="24"/>
          <w:szCs w:val="24"/>
          <w:lang w:val="es-ES"/>
        </w:rPr>
        <w:t>Precio de Bienes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B1309" w:rsidRPr="00D14FD0">
        <w:rPr>
          <w:rFonts w:ascii="Times New Roman" w:hAnsi="Times New Roman" w:cs="Times New Roman"/>
          <w:b/>
          <w:sz w:val="24"/>
          <w:szCs w:val="24"/>
          <w:lang w:val="es-ES"/>
        </w:rPr>
        <w:t xml:space="preserve">y Servicios </w:t>
      </w:r>
      <w:r w:rsidR="00BD55E1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4B1309" w:rsidRPr="00D92229">
        <w:rPr>
          <w:rFonts w:ascii="Times New Roman" w:hAnsi="Times New Roman" w:cs="Times New Roman"/>
          <w:sz w:val="24"/>
          <w:szCs w:val="24"/>
        </w:rPr>
        <w:t xml:space="preserve">Consiste en el riesgo derivado del efecto que tengan los cambios potenciales en los precios de los </w:t>
      </w:r>
      <w:r w:rsidR="00D92229">
        <w:rPr>
          <w:rFonts w:ascii="Times New Roman" w:hAnsi="Times New Roman" w:cs="Times New Roman"/>
          <w:sz w:val="24"/>
          <w:szCs w:val="24"/>
        </w:rPr>
        <w:t>b</w:t>
      </w:r>
      <w:r w:rsidR="004B1309" w:rsidRPr="00D92229">
        <w:rPr>
          <w:rFonts w:ascii="Times New Roman" w:hAnsi="Times New Roman" w:cs="Times New Roman"/>
          <w:sz w:val="24"/>
          <w:szCs w:val="24"/>
        </w:rPr>
        <w:t>ienes</w:t>
      </w:r>
      <w:r w:rsidRPr="00D92229">
        <w:rPr>
          <w:rFonts w:ascii="Times New Roman" w:hAnsi="Times New Roman" w:cs="Times New Roman"/>
          <w:sz w:val="24"/>
          <w:szCs w:val="24"/>
        </w:rPr>
        <w:t xml:space="preserve"> </w:t>
      </w:r>
      <w:r w:rsidR="004B1309" w:rsidRPr="00D92229">
        <w:rPr>
          <w:rFonts w:ascii="Times New Roman" w:hAnsi="Times New Roman" w:cs="Times New Roman"/>
          <w:sz w:val="24"/>
          <w:szCs w:val="24"/>
        </w:rPr>
        <w:t xml:space="preserve">y </w:t>
      </w:r>
      <w:r w:rsidR="00D92229">
        <w:rPr>
          <w:rFonts w:ascii="Times New Roman" w:hAnsi="Times New Roman" w:cs="Times New Roman"/>
          <w:sz w:val="24"/>
          <w:szCs w:val="24"/>
        </w:rPr>
        <w:t>s</w:t>
      </w:r>
      <w:r w:rsidR="004B1309" w:rsidRPr="00D92229">
        <w:rPr>
          <w:rFonts w:ascii="Times New Roman" w:hAnsi="Times New Roman" w:cs="Times New Roman"/>
          <w:sz w:val="24"/>
          <w:szCs w:val="24"/>
        </w:rPr>
        <w:t>ervicios, a nivel del instituto el precio afecta potencialmente la comercialización</w:t>
      </w:r>
      <w:r w:rsidRPr="00D92229">
        <w:rPr>
          <w:rFonts w:ascii="Times New Roman" w:hAnsi="Times New Roman" w:cs="Times New Roman"/>
          <w:sz w:val="24"/>
          <w:szCs w:val="24"/>
        </w:rPr>
        <w:t xml:space="preserve"> </w:t>
      </w:r>
      <w:r w:rsidR="003B03EA" w:rsidRPr="00D92229">
        <w:rPr>
          <w:rFonts w:ascii="Times New Roman" w:hAnsi="Times New Roman" w:cs="Times New Roman"/>
          <w:sz w:val="24"/>
          <w:szCs w:val="24"/>
        </w:rPr>
        <w:t xml:space="preserve">o venta </w:t>
      </w:r>
      <w:r w:rsidR="004B1309" w:rsidRPr="00D92229">
        <w:rPr>
          <w:rFonts w:ascii="Times New Roman" w:hAnsi="Times New Roman" w:cs="Times New Roman"/>
          <w:sz w:val="24"/>
          <w:szCs w:val="24"/>
        </w:rPr>
        <w:t>de los</w:t>
      </w:r>
      <w:r w:rsidRPr="00D92229">
        <w:rPr>
          <w:rFonts w:ascii="Times New Roman" w:hAnsi="Times New Roman" w:cs="Times New Roman"/>
          <w:sz w:val="24"/>
          <w:szCs w:val="24"/>
        </w:rPr>
        <w:t xml:space="preserve"> </w:t>
      </w:r>
      <w:r w:rsidR="004B1309" w:rsidRPr="00D92229">
        <w:rPr>
          <w:rFonts w:ascii="Times New Roman" w:hAnsi="Times New Roman" w:cs="Times New Roman"/>
          <w:sz w:val="24"/>
          <w:szCs w:val="24"/>
        </w:rPr>
        <w:t xml:space="preserve">inmuebles, así como los arrendamientos. </w:t>
      </w:r>
    </w:p>
    <w:p w:rsidR="00BD55E1" w:rsidRDefault="00BD55E1" w:rsidP="00BD55E1">
      <w:pPr>
        <w:rPr>
          <w:rFonts w:ascii="Times New Roman" w:hAnsi="Times New Roman" w:cs="Times New Roman"/>
          <w:sz w:val="24"/>
          <w:szCs w:val="24"/>
        </w:rPr>
      </w:pPr>
    </w:p>
    <w:p w:rsidR="00A305B6" w:rsidRPr="008A26C8" w:rsidRDefault="00EB3E6D" w:rsidP="00A6611C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8A26C8">
        <w:rPr>
          <w:rFonts w:ascii="Times New Roman" w:hAnsi="Times New Roman" w:cs="Times New Roman"/>
          <w:b/>
          <w:sz w:val="28"/>
          <w:szCs w:val="28"/>
        </w:rPr>
        <w:t>.</w:t>
      </w:r>
      <w:r w:rsidR="00A6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5B6" w:rsidRPr="008A26C8">
        <w:rPr>
          <w:rFonts w:ascii="Times New Roman" w:hAnsi="Times New Roman" w:cs="Times New Roman"/>
          <w:b/>
          <w:sz w:val="28"/>
          <w:szCs w:val="28"/>
        </w:rPr>
        <w:t>Riesgo Reputacional</w:t>
      </w:r>
    </w:p>
    <w:p w:rsidR="00A305B6" w:rsidRPr="00D14FD0" w:rsidRDefault="00C56B23" w:rsidP="00A6611C">
      <w:pPr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>Este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A305B6" w:rsidRPr="00D14FD0">
        <w:rPr>
          <w:rFonts w:ascii="Times New Roman" w:hAnsi="Times New Roman" w:cs="Times New Roman"/>
          <w:sz w:val="24"/>
          <w:szCs w:val="24"/>
        </w:rPr>
        <w:t>se define como la pos</w:t>
      </w:r>
      <w:r w:rsidRPr="00D14FD0">
        <w:rPr>
          <w:rFonts w:ascii="Times New Roman" w:hAnsi="Times New Roman" w:cs="Times New Roman"/>
          <w:sz w:val="24"/>
          <w:szCs w:val="24"/>
        </w:rPr>
        <w:t>i</w:t>
      </w:r>
      <w:r w:rsidR="00A305B6" w:rsidRPr="00D14FD0">
        <w:rPr>
          <w:rFonts w:ascii="Times New Roman" w:hAnsi="Times New Roman" w:cs="Times New Roman"/>
          <w:sz w:val="24"/>
          <w:szCs w:val="24"/>
        </w:rPr>
        <w:t>bilidad</w:t>
      </w:r>
      <w:r w:rsidRPr="00D14FD0">
        <w:rPr>
          <w:rFonts w:ascii="Times New Roman" w:hAnsi="Times New Roman" w:cs="Times New Roman"/>
          <w:sz w:val="24"/>
          <w:szCs w:val="24"/>
        </w:rPr>
        <w:t xml:space="preserve"> de incurrir en pérdidas</w:t>
      </w:r>
      <w:r w:rsidR="00D92229">
        <w:rPr>
          <w:rFonts w:ascii="Times New Roman" w:hAnsi="Times New Roman" w:cs="Times New Roman"/>
          <w:sz w:val="24"/>
          <w:szCs w:val="24"/>
        </w:rPr>
        <w:t>,</w:t>
      </w:r>
      <w:r w:rsidRPr="00D14FD0">
        <w:rPr>
          <w:rFonts w:ascii="Times New Roman" w:hAnsi="Times New Roman" w:cs="Times New Roman"/>
          <w:sz w:val="24"/>
          <w:szCs w:val="24"/>
        </w:rPr>
        <w:t xml:space="preserve"> producto del deterioro de la </w:t>
      </w:r>
      <w:r w:rsidR="00F07356" w:rsidRPr="00D14FD0">
        <w:rPr>
          <w:rFonts w:ascii="Times New Roman" w:hAnsi="Times New Roman" w:cs="Times New Roman"/>
          <w:sz w:val="24"/>
          <w:szCs w:val="24"/>
        </w:rPr>
        <w:t>imagen del instituto, desprestigio</w:t>
      </w:r>
      <w:r w:rsidRPr="00D14FD0">
        <w:rPr>
          <w:rFonts w:ascii="Times New Roman" w:hAnsi="Times New Roman" w:cs="Times New Roman"/>
          <w:sz w:val="24"/>
          <w:szCs w:val="24"/>
        </w:rPr>
        <w:t>, publicidad negativa cierta o no</w:t>
      </w:r>
      <w:r w:rsidR="00D92229">
        <w:rPr>
          <w:rFonts w:ascii="Times New Roman" w:hAnsi="Times New Roman" w:cs="Times New Roman"/>
          <w:sz w:val="24"/>
          <w:szCs w:val="24"/>
        </w:rPr>
        <w:t>,</w:t>
      </w:r>
      <w:r w:rsidRPr="00D14FD0">
        <w:rPr>
          <w:rFonts w:ascii="Times New Roman" w:hAnsi="Times New Roman" w:cs="Times New Roman"/>
          <w:sz w:val="24"/>
          <w:szCs w:val="24"/>
        </w:rPr>
        <w:t xml:space="preserve"> respecto a la </w:t>
      </w:r>
      <w:r w:rsidR="00AB4573" w:rsidRPr="00D14FD0">
        <w:rPr>
          <w:rFonts w:ascii="Times New Roman" w:hAnsi="Times New Roman" w:cs="Times New Roman"/>
          <w:sz w:val="24"/>
          <w:szCs w:val="24"/>
        </w:rPr>
        <w:t>institución, sus</w:t>
      </w:r>
      <w:r w:rsidRPr="00D14FD0">
        <w:rPr>
          <w:rFonts w:ascii="Times New Roman" w:hAnsi="Times New Roman" w:cs="Times New Roman"/>
          <w:sz w:val="24"/>
          <w:szCs w:val="24"/>
        </w:rPr>
        <w:t xml:space="preserve"> </w:t>
      </w:r>
      <w:r w:rsidR="00F07356" w:rsidRPr="00D14FD0">
        <w:rPr>
          <w:rFonts w:ascii="Times New Roman" w:hAnsi="Times New Roman" w:cs="Times New Roman"/>
          <w:sz w:val="24"/>
          <w:szCs w:val="24"/>
        </w:rPr>
        <w:t>prácticas</w:t>
      </w:r>
      <w:r w:rsidRPr="00D14FD0">
        <w:rPr>
          <w:rFonts w:ascii="Times New Roman" w:hAnsi="Times New Roman" w:cs="Times New Roman"/>
          <w:sz w:val="24"/>
          <w:szCs w:val="24"/>
        </w:rPr>
        <w:t xml:space="preserve"> de negocio debido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D14FD0">
        <w:rPr>
          <w:rFonts w:ascii="Times New Roman" w:hAnsi="Times New Roman" w:cs="Times New Roman"/>
          <w:sz w:val="24"/>
          <w:szCs w:val="24"/>
        </w:rPr>
        <w:t xml:space="preserve">al incumplimiento de </w:t>
      </w:r>
      <w:r w:rsidR="00AB4573" w:rsidRPr="00D14FD0">
        <w:rPr>
          <w:rFonts w:ascii="Times New Roman" w:hAnsi="Times New Roman" w:cs="Times New Roman"/>
          <w:sz w:val="24"/>
          <w:szCs w:val="24"/>
        </w:rPr>
        <w:t>leyes</w:t>
      </w:r>
      <w:r w:rsidR="00D92229">
        <w:rPr>
          <w:rFonts w:ascii="Times New Roman" w:hAnsi="Times New Roman" w:cs="Times New Roman"/>
          <w:sz w:val="24"/>
          <w:szCs w:val="24"/>
        </w:rPr>
        <w:t xml:space="preserve"> o</w:t>
      </w:r>
      <w:r w:rsidR="00AB4573" w:rsidRPr="00D14FD0">
        <w:rPr>
          <w:rFonts w:ascii="Times New Roman" w:hAnsi="Times New Roman" w:cs="Times New Roman"/>
          <w:sz w:val="24"/>
          <w:szCs w:val="24"/>
        </w:rPr>
        <w:t xml:space="preserve"> normas</w:t>
      </w:r>
      <w:r w:rsidR="00F07356" w:rsidRPr="00D14FD0">
        <w:rPr>
          <w:rFonts w:ascii="Times New Roman" w:hAnsi="Times New Roman" w:cs="Times New Roman"/>
          <w:sz w:val="24"/>
          <w:szCs w:val="24"/>
        </w:rPr>
        <w:t xml:space="preserve"> internas.</w:t>
      </w:r>
    </w:p>
    <w:p w:rsidR="00F07356" w:rsidRDefault="00F07356" w:rsidP="00D92229">
      <w:pPr>
        <w:jc w:val="both"/>
        <w:rPr>
          <w:rFonts w:ascii="Times New Roman" w:hAnsi="Times New Roman" w:cs="Times New Roman"/>
          <w:sz w:val="24"/>
          <w:szCs w:val="24"/>
        </w:rPr>
      </w:pPr>
      <w:r w:rsidRPr="00D14FD0">
        <w:rPr>
          <w:rFonts w:ascii="Times New Roman" w:hAnsi="Times New Roman" w:cs="Times New Roman"/>
          <w:sz w:val="24"/>
          <w:szCs w:val="24"/>
        </w:rPr>
        <w:t xml:space="preserve">La reputación es el activo intangible </w:t>
      </w:r>
      <w:r w:rsidR="00755BE0" w:rsidRPr="00D14FD0">
        <w:rPr>
          <w:rFonts w:ascii="Times New Roman" w:hAnsi="Times New Roman" w:cs="Times New Roman"/>
          <w:sz w:val="24"/>
          <w:szCs w:val="24"/>
        </w:rPr>
        <w:t>más</w:t>
      </w:r>
      <w:r w:rsidRPr="00D14FD0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755BE0" w:rsidRPr="00D14FD0">
        <w:rPr>
          <w:rFonts w:ascii="Times New Roman" w:hAnsi="Times New Roman" w:cs="Times New Roman"/>
          <w:sz w:val="24"/>
          <w:szCs w:val="24"/>
        </w:rPr>
        <w:t xml:space="preserve">de una institución y se convierte en el reflejo </w:t>
      </w:r>
      <w:r w:rsidR="00D92229">
        <w:rPr>
          <w:rFonts w:ascii="Times New Roman" w:hAnsi="Times New Roman" w:cs="Times New Roman"/>
          <w:sz w:val="24"/>
          <w:szCs w:val="24"/>
        </w:rPr>
        <w:t>de có</w:t>
      </w:r>
      <w:r w:rsidR="00755BE0" w:rsidRPr="00D14FD0">
        <w:rPr>
          <w:rFonts w:ascii="Times New Roman" w:hAnsi="Times New Roman" w:cs="Times New Roman"/>
          <w:sz w:val="24"/>
          <w:szCs w:val="24"/>
        </w:rPr>
        <w:t>mo la ven los grupos de clientes</w:t>
      </w:r>
      <w:r w:rsidR="00D92229">
        <w:rPr>
          <w:rFonts w:ascii="Times New Roman" w:hAnsi="Times New Roman" w:cs="Times New Roman"/>
          <w:sz w:val="24"/>
          <w:szCs w:val="24"/>
        </w:rPr>
        <w:t>,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755BE0" w:rsidRPr="00D14FD0">
        <w:rPr>
          <w:rFonts w:ascii="Times New Roman" w:hAnsi="Times New Roman" w:cs="Times New Roman"/>
          <w:sz w:val="24"/>
          <w:szCs w:val="24"/>
        </w:rPr>
        <w:t xml:space="preserve">y al mismo tiempo como </w:t>
      </w:r>
      <w:r w:rsidR="00D92229">
        <w:rPr>
          <w:rFonts w:ascii="Times New Roman" w:hAnsi="Times New Roman" w:cs="Times New Roman"/>
          <w:sz w:val="24"/>
          <w:szCs w:val="24"/>
        </w:rPr>
        <w:t xml:space="preserve">se </w:t>
      </w:r>
      <w:r w:rsidR="00755BE0" w:rsidRPr="00D14FD0">
        <w:rPr>
          <w:rFonts w:ascii="Times New Roman" w:hAnsi="Times New Roman" w:cs="Times New Roman"/>
          <w:sz w:val="24"/>
          <w:szCs w:val="24"/>
        </w:rPr>
        <w:t>expresan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755BE0" w:rsidRPr="00D14FD0">
        <w:rPr>
          <w:rFonts w:ascii="Times New Roman" w:hAnsi="Times New Roman" w:cs="Times New Roman"/>
          <w:sz w:val="24"/>
          <w:szCs w:val="24"/>
        </w:rPr>
        <w:t xml:space="preserve">con sus </w:t>
      </w:r>
      <w:r w:rsidR="00AB4573" w:rsidRPr="00D14FD0">
        <w:rPr>
          <w:rFonts w:ascii="Times New Roman" w:hAnsi="Times New Roman" w:cs="Times New Roman"/>
          <w:sz w:val="24"/>
          <w:szCs w:val="24"/>
        </w:rPr>
        <w:t>opiniones, comentario</w:t>
      </w:r>
      <w:r w:rsidR="00D92229">
        <w:rPr>
          <w:rFonts w:ascii="Times New Roman" w:hAnsi="Times New Roman" w:cs="Times New Roman"/>
          <w:sz w:val="24"/>
          <w:szCs w:val="24"/>
        </w:rPr>
        <w:t>s</w:t>
      </w:r>
      <w:r w:rsidR="00755BE0" w:rsidRPr="00D14FD0">
        <w:rPr>
          <w:rFonts w:ascii="Times New Roman" w:hAnsi="Times New Roman" w:cs="Times New Roman"/>
          <w:sz w:val="24"/>
          <w:szCs w:val="24"/>
        </w:rPr>
        <w:t xml:space="preserve"> y actos.</w:t>
      </w:r>
    </w:p>
    <w:p w:rsidR="00755BE0" w:rsidRPr="00944CB5" w:rsidRDefault="00755BE0" w:rsidP="00A6611C">
      <w:pPr>
        <w:rPr>
          <w:rFonts w:ascii="Times New Roman" w:hAnsi="Times New Roman" w:cs="Times New Roman"/>
          <w:b/>
          <w:sz w:val="24"/>
          <w:szCs w:val="24"/>
        </w:rPr>
      </w:pPr>
      <w:r w:rsidRPr="00944CB5">
        <w:rPr>
          <w:rFonts w:ascii="Times New Roman" w:hAnsi="Times New Roman" w:cs="Times New Roman"/>
          <w:b/>
          <w:sz w:val="24"/>
          <w:szCs w:val="24"/>
        </w:rPr>
        <w:t>Eventos de Riesgo Reputacional</w:t>
      </w:r>
      <w:r w:rsidR="005F1243" w:rsidRPr="00944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243" w:rsidRPr="00AB4573" w:rsidRDefault="005F1243" w:rsidP="00D92229">
      <w:pPr>
        <w:jc w:val="both"/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sz w:val="24"/>
          <w:szCs w:val="24"/>
        </w:rPr>
        <w:t>Son aquellos que afectan directa o indirectamente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AB4573">
        <w:rPr>
          <w:rFonts w:ascii="Times New Roman" w:hAnsi="Times New Roman" w:cs="Times New Roman"/>
          <w:sz w:val="24"/>
          <w:szCs w:val="24"/>
        </w:rPr>
        <w:t>el normal desarrollo de los objetivos del instituto</w:t>
      </w:r>
      <w:r w:rsidR="00D92229">
        <w:rPr>
          <w:rFonts w:ascii="Times New Roman" w:hAnsi="Times New Roman" w:cs="Times New Roman"/>
          <w:sz w:val="24"/>
          <w:szCs w:val="24"/>
        </w:rPr>
        <w:t>,</w:t>
      </w:r>
      <w:r w:rsidRPr="00AB4573">
        <w:rPr>
          <w:rFonts w:ascii="Times New Roman" w:hAnsi="Times New Roman" w:cs="Times New Roman"/>
          <w:sz w:val="24"/>
          <w:szCs w:val="24"/>
        </w:rPr>
        <w:t xml:space="preserve"> los cuales incluyen los incidentes ocurridos y eventos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AB4573">
        <w:rPr>
          <w:rFonts w:ascii="Times New Roman" w:hAnsi="Times New Roman" w:cs="Times New Roman"/>
          <w:sz w:val="24"/>
          <w:szCs w:val="24"/>
        </w:rPr>
        <w:t>pot</w:t>
      </w:r>
      <w:r w:rsidR="00D92229">
        <w:rPr>
          <w:rFonts w:ascii="Times New Roman" w:hAnsi="Times New Roman" w:cs="Times New Roman"/>
          <w:sz w:val="24"/>
          <w:szCs w:val="24"/>
        </w:rPr>
        <w:t>e</w:t>
      </w:r>
      <w:r w:rsidRPr="00AB4573">
        <w:rPr>
          <w:rFonts w:ascii="Times New Roman" w:hAnsi="Times New Roman" w:cs="Times New Roman"/>
          <w:sz w:val="24"/>
          <w:szCs w:val="24"/>
        </w:rPr>
        <w:t>nciales</w:t>
      </w:r>
      <w:r w:rsidR="00D92229">
        <w:rPr>
          <w:rFonts w:ascii="Times New Roman" w:hAnsi="Times New Roman" w:cs="Times New Roman"/>
          <w:sz w:val="24"/>
          <w:szCs w:val="24"/>
        </w:rPr>
        <w:t>,</w:t>
      </w:r>
      <w:r w:rsidRPr="00AB4573">
        <w:rPr>
          <w:rFonts w:ascii="Times New Roman" w:hAnsi="Times New Roman" w:cs="Times New Roman"/>
          <w:sz w:val="24"/>
          <w:szCs w:val="24"/>
        </w:rPr>
        <w:t xml:space="preserve"> que pueden generar </w:t>
      </w:r>
      <w:r w:rsidR="00944CB5" w:rsidRPr="00AB4573">
        <w:rPr>
          <w:rFonts w:ascii="Times New Roman" w:hAnsi="Times New Roman" w:cs="Times New Roman"/>
          <w:sz w:val="24"/>
          <w:szCs w:val="24"/>
        </w:rPr>
        <w:t>pérdidas</w:t>
      </w:r>
      <w:r w:rsidRPr="00AB4573">
        <w:rPr>
          <w:rFonts w:ascii="Times New Roman" w:hAnsi="Times New Roman" w:cs="Times New Roman"/>
          <w:sz w:val="24"/>
          <w:szCs w:val="24"/>
        </w:rPr>
        <w:t xml:space="preserve"> económicas </w:t>
      </w:r>
      <w:r w:rsidR="00D92229">
        <w:rPr>
          <w:rFonts w:ascii="Times New Roman" w:hAnsi="Times New Roman" w:cs="Times New Roman"/>
          <w:sz w:val="24"/>
          <w:szCs w:val="24"/>
        </w:rPr>
        <w:t>y</w:t>
      </w:r>
      <w:r w:rsidRPr="00AB4573">
        <w:rPr>
          <w:rFonts w:ascii="Times New Roman" w:hAnsi="Times New Roman" w:cs="Times New Roman"/>
          <w:sz w:val="24"/>
          <w:szCs w:val="24"/>
        </w:rPr>
        <w:t xml:space="preserve"> afectar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AB4573">
        <w:rPr>
          <w:rFonts w:ascii="Times New Roman" w:hAnsi="Times New Roman" w:cs="Times New Roman"/>
          <w:sz w:val="24"/>
          <w:szCs w:val="24"/>
        </w:rPr>
        <w:t>o no el estado de resultado</w:t>
      </w:r>
      <w:r w:rsidR="00D92229">
        <w:rPr>
          <w:rFonts w:ascii="Times New Roman" w:hAnsi="Times New Roman" w:cs="Times New Roman"/>
          <w:sz w:val="24"/>
          <w:szCs w:val="24"/>
        </w:rPr>
        <w:t xml:space="preserve">s, </w:t>
      </w:r>
      <w:r w:rsidRPr="00AB4573">
        <w:rPr>
          <w:rFonts w:ascii="Times New Roman" w:hAnsi="Times New Roman" w:cs="Times New Roman"/>
          <w:sz w:val="24"/>
          <w:szCs w:val="24"/>
        </w:rPr>
        <w:t xml:space="preserve">entre </w:t>
      </w:r>
      <w:r w:rsidR="00D92229">
        <w:rPr>
          <w:rFonts w:ascii="Times New Roman" w:hAnsi="Times New Roman" w:cs="Times New Roman"/>
          <w:sz w:val="24"/>
          <w:szCs w:val="24"/>
        </w:rPr>
        <w:t xml:space="preserve">éstos </w:t>
      </w:r>
      <w:r w:rsidRPr="00AB4573">
        <w:rPr>
          <w:rFonts w:ascii="Times New Roman" w:hAnsi="Times New Roman" w:cs="Times New Roman"/>
          <w:sz w:val="24"/>
          <w:szCs w:val="24"/>
        </w:rPr>
        <w:t xml:space="preserve">se </w:t>
      </w:r>
      <w:r w:rsidR="00D92229" w:rsidRPr="00AB4573">
        <w:rPr>
          <w:rFonts w:ascii="Times New Roman" w:hAnsi="Times New Roman" w:cs="Times New Roman"/>
          <w:sz w:val="24"/>
          <w:szCs w:val="24"/>
        </w:rPr>
        <w:t>puede</w:t>
      </w:r>
      <w:r w:rsidRPr="00AB4573">
        <w:rPr>
          <w:rFonts w:ascii="Times New Roman" w:hAnsi="Times New Roman" w:cs="Times New Roman"/>
          <w:sz w:val="24"/>
          <w:szCs w:val="24"/>
        </w:rPr>
        <w:t xml:space="preserve"> </w:t>
      </w:r>
      <w:r w:rsidR="00944CB5" w:rsidRPr="00AB4573">
        <w:rPr>
          <w:rFonts w:ascii="Times New Roman" w:hAnsi="Times New Roman" w:cs="Times New Roman"/>
          <w:sz w:val="24"/>
          <w:szCs w:val="24"/>
        </w:rPr>
        <w:t>mencionar:</w:t>
      </w:r>
    </w:p>
    <w:p w:rsidR="005F1243" w:rsidRDefault="005F1243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Perdida de empleados como resultado del deterioro de la imagen del instituto.</w:t>
      </w:r>
    </w:p>
    <w:p w:rsidR="000D7F86" w:rsidRPr="00C63438" w:rsidRDefault="005F1243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438">
        <w:rPr>
          <w:rFonts w:ascii="Times New Roman" w:hAnsi="Times New Roman" w:cs="Times New Roman"/>
          <w:sz w:val="24"/>
          <w:szCs w:val="24"/>
        </w:rPr>
        <w:t>Percepción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C63438">
        <w:rPr>
          <w:rFonts w:ascii="Times New Roman" w:hAnsi="Times New Roman" w:cs="Times New Roman"/>
          <w:sz w:val="24"/>
          <w:szCs w:val="24"/>
        </w:rPr>
        <w:t>que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C63438">
        <w:rPr>
          <w:rFonts w:ascii="Times New Roman" w:hAnsi="Times New Roman" w:cs="Times New Roman"/>
          <w:sz w:val="24"/>
          <w:szCs w:val="24"/>
        </w:rPr>
        <w:t>se tiene del</w:t>
      </w:r>
      <w:r w:rsidR="000D7F86" w:rsidRPr="00C63438">
        <w:rPr>
          <w:rFonts w:ascii="Times New Roman" w:hAnsi="Times New Roman" w:cs="Times New Roman"/>
          <w:sz w:val="24"/>
          <w:szCs w:val="24"/>
        </w:rPr>
        <w:t xml:space="preserve"> instituto, funcionarios y directivos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D7F86" w:rsidRPr="00C63438">
        <w:rPr>
          <w:rFonts w:ascii="Times New Roman" w:hAnsi="Times New Roman" w:cs="Times New Roman"/>
          <w:sz w:val="24"/>
          <w:szCs w:val="24"/>
        </w:rPr>
        <w:t>por información cierta o infundada.</w:t>
      </w:r>
    </w:p>
    <w:p w:rsidR="005F1243" w:rsidRPr="00944CB5" w:rsidRDefault="00E73D47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Pleitos,</w:t>
      </w:r>
      <w:r w:rsidR="000D7F86" w:rsidRPr="00944CB5">
        <w:rPr>
          <w:rFonts w:ascii="Times New Roman" w:hAnsi="Times New Roman" w:cs="Times New Roman"/>
          <w:sz w:val="24"/>
          <w:szCs w:val="24"/>
        </w:rPr>
        <w:t xml:space="preserve"> acusaciones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0D7F86" w:rsidRPr="00944CB5">
        <w:rPr>
          <w:rFonts w:ascii="Times New Roman" w:hAnsi="Times New Roman" w:cs="Times New Roman"/>
          <w:sz w:val="24"/>
          <w:szCs w:val="24"/>
        </w:rPr>
        <w:t>o multas por parte de autoridades legales</w:t>
      </w:r>
    </w:p>
    <w:p w:rsidR="000D7F86" w:rsidRPr="00944CB5" w:rsidRDefault="000D7F86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Por una nueva tecnología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944CB5">
        <w:rPr>
          <w:rFonts w:ascii="Times New Roman" w:hAnsi="Times New Roman" w:cs="Times New Roman"/>
          <w:sz w:val="24"/>
          <w:szCs w:val="24"/>
        </w:rPr>
        <w:t>de comunicación o sistema informático</w:t>
      </w:r>
    </w:p>
    <w:p w:rsidR="000D7F86" w:rsidRPr="00944CB5" w:rsidRDefault="000D7F86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Mala intención con efectos perversos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944CB5">
        <w:rPr>
          <w:rFonts w:ascii="Times New Roman" w:hAnsi="Times New Roman" w:cs="Times New Roman"/>
          <w:sz w:val="24"/>
          <w:szCs w:val="24"/>
        </w:rPr>
        <w:t>al dar una mala información</w:t>
      </w:r>
    </w:p>
    <w:p w:rsidR="000D7F86" w:rsidRPr="00944CB5" w:rsidRDefault="000D7F86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Una o varias demandas hecha por nuestros clientes</w:t>
      </w:r>
    </w:p>
    <w:p w:rsidR="000D7F86" w:rsidRPr="00944CB5" w:rsidRDefault="000D7F86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Malas relaciones laborales y seguridad en el puesto de trabajo.</w:t>
      </w:r>
    </w:p>
    <w:p w:rsidR="000D7F86" w:rsidRPr="00944CB5" w:rsidRDefault="000D7F86" w:rsidP="00A6611C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Interrupción del negocio y fallas en el negocio.</w:t>
      </w:r>
    </w:p>
    <w:p w:rsidR="008E2AB2" w:rsidRPr="00AB4573" w:rsidRDefault="008E2AB2" w:rsidP="00A6611C">
      <w:pPr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sz w:val="24"/>
          <w:szCs w:val="24"/>
        </w:rPr>
        <w:t>Existen tres factores principalmente que se tienen que considerar ya que siempre influyen en la magnitud del daño dela reputación los cuales son:</w:t>
      </w:r>
    </w:p>
    <w:p w:rsidR="008E2AB2" w:rsidRPr="00944CB5" w:rsidRDefault="008E2AB2" w:rsidP="00A6611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 xml:space="preserve">El nivel de reputación de la institución </w:t>
      </w:r>
    </w:p>
    <w:p w:rsidR="008E2AB2" w:rsidRPr="00944CB5" w:rsidRDefault="008E2AB2" w:rsidP="00A6611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La naturaleza de la amenaza</w:t>
      </w:r>
    </w:p>
    <w:p w:rsidR="00BF6B7E" w:rsidRPr="00944CB5" w:rsidRDefault="008E2AB2" w:rsidP="00A6611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44CB5">
        <w:rPr>
          <w:rFonts w:ascii="Times New Roman" w:hAnsi="Times New Roman" w:cs="Times New Roman"/>
          <w:sz w:val="24"/>
          <w:szCs w:val="24"/>
        </w:rPr>
        <w:t>El modo de gestionar la situación</w:t>
      </w:r>
    </w:p>
    <w:p w:rsidR="001879D9" w:rsidRDefault="00712EA5" w:rsidP="00D922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73">
        <w:rPr>
          <w:rFonts w:ascii="Times New Roman" w:hAnsi="Times New Roman" w:cs="Times New Roman"/>
          <w:sz w:val="24"/>
          <w:szCs w:val="24"/>
        </w:rPr>
        <w:t>Considerando que el riesgo reputacional es de gran interés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95733D" w:rsidRPr="00AB4573">
        <w:rPr>
          <w:rFonts w:ascii="Times New Roman" w:hAnsi="Times New Roman" w:cs="Times New Roman"/>
          <w:sz w:val="24"/>
          <w:szCs w:val="24"/>
        </w:rPr>
        <w:t xml:space="preserve">y prioridad en toda organización, ya que este genera como consecuencia el </w:t>
      </w:r>
      <w:r w:rsidR="00D14FD0" w:rsidRPr="00AB4573">
        <w:rPr>
          <w:rFonts w:ascii="Times New Roman" w:hAnsi="Times New Roman" w:cs="Times New Roman"/>
          <w:sz w:val="24"/>
          <w:szCs w:val="24"/>
        </w:rPr>
        <w:t xml:space="preserve">daño, </w:t>
      </w:r>
      <w:r w:rsidR="001879D9" w:rsidRPr="00AB4573">
        <w:rPr>
          <w:rFonts w:ascii="Times New Roman" w:hAnsi="Times New Roman" w:cs="Times New Roman"/>
          <w:sz w:val="24"/>
          <w:szCs w:val="24"/>
        </w:rPr>
        <w:t>pérdida</w:t>
      </w:r>
      <w:r w:rsidR="0095733D" w:rsidRPr="00AB4573">
        <w:rPr>
          <w:rFonts w:ascii="Times New Roman" w:hAnsi="Times New Roman" w:cs="Times New Roman"/>
          <w:sz w:val="24"/>
          <w:szCs w:val="24"/>
        </w:rPr>
        <w:t xml:space="preserve"> y cierre</w:t>
      </w:r>
      <w:r w:rsidR="001879D9">
        <w:rPr>
          <w:rFonts w:ascii="Times New Roman" w:hAnsi="Times New Roman" w:cs="Times New Roman"/>
          <w:sz w:val="24"/>
          <w:szCs w:val="24"/>
        </w:rPr>
        <w:t xml:space="preserve"> de</w:t>
      </w:r>
      <w:r w:rsidR="0095733D" w:rsidRPr="00AB4573">
        <w:rPr>
          <w:rFonts w:ascii="Times New Roman" w:hAnsi="Times New Roman" w:cs="Times New Roman"/>
          <w:sz w:val="24"/>
          <w:szCs w:val="24"/>
        </w:rPr>
        <w:t xml:space="preserve"> una institución o empresa a continuación se presentan algunas recomendaciones que hay que </w:t>
      </w:r>
      <w:r w:rsidR="00586B54">
        <w:rPr>
          <w:rFonts w:ascii="Times New Roman" w:hAnsi="Times New Roman" w:cs="Times New Roman"/>
          <w:sz w:val="24"/>
          <w:szCs w:val="24"/>
        </w:rPr>
        <w:t xml:space="preserve">considerar: </w:t>
      </w:r>
    </w:p>
    <w:p w:rsidR="0095733D" w:rsidRPr="00AB4573" w:rsidRDefault="0095733D" w:rsidP="00A6611C">
      <w:pPr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BF6B7E" w:rsidRPr="00AB4573">
        <w:rPr>
          <w:rFonts w:ascii="Times New Roman" w:hAnsi="Times New Roman" w:cs="Times New Roman"/>
          <w:b/>
          <w:sz w:val="24"/>
          <w:szCs w:val="24"/>
        </w:rPr>
        <w:t>transparencia</w:t>
      </w:r>
      <w:r w:rsidR="00BF6B7E" w:rsidRPr="00AB4573">
        <w:rPr>
          <w:rFonts w:ascii="Times New Roman" w:hAnsi="Times New Roman" w:cs="Times New Roman"/>
          <w:sz w:val="24"/>
          <w:szCs w:val="24"/>
        </w:rPr>
        <w:t>:</w:t>
      </w:r>
      <w:r w:rsidRPr="00AB4573">
        <w:rPr>
          <w:rFonts w:ascii="Times New Roman" w:hAnsi="Times New Roman" w:cs="Times New Roman"/>
          <w:sz w:val="24"/>
          <w:szCs w:val="24"/>
        </w:rPr>
        <w:t xml:space="preserve"> consiste en un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Pr="00AB4573">
        <w:rPr>
          <w:rFonts w:ascii="Times New Roman" w:hAnsi="Times New Roman" w:cs="Times New Roman"/>
          <w:sz w:val="24"/>
          <w:szCs w:val="24"/>
        </w:rPr>
        <w:t xml:space="preserve">aspecto muy ligado </w:t>
      </w:r>
      <w:r w:rsidR="001879D9" w:rsidRPr="00AB4573">
        <w:rPr>
          <w:rFonts w:ascii="Times New Roman" w:hAnsi="Times New Roman" w:cs="Times New Roman"/>
          <w:sz w:val="24"/>
          <w:szCs w:val="24"/>
        </w:rPr>
        <w:t>a la</w:t>
      </w:r>
      <w:r w:rsidRPr="00AB4573">
        <w:rPr>
          <w:rFonts w:ascii="Times New Roman" w:hAnsi="Times New Roman" w:cs="Times New Roman"/>
          <w:sz w:val="24"/>
          <w:szCs w:val="24"/>
        </w:rPr>
        <w:t xml:space="preserve"> reputación institucional</w:t>
      </w:r>
    </w:p>
    <w:p w:rsidR="00586B54" w:rsidRDefault="00586B54" w:rsidP="00A6611C">
      <w:pPr>
        <w:rPr>
          <w:rFonts w:ascii="Times New Roman" w:hAnsi="Times New Roman" w:cs="Times New Roman"/>
          <w:b/>
          <w:sz w:val="24"/>
          <w:szCs w:val="24"/>
        </w:rPr>
      </w:pPr>
    </w:p>
    <w:p w:rsidR="0095733D" w:rsidRPr="00AB4573" w:rsidRDefault="0095733D" w:rsidP="00A6611C">
      <w:pPr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b/>
          <w:sz w:val="24"/>
          <w:szCs w:val="24"/>
        </w:rPr>
        <w:t xml:space="preserve">La confianza: </w:t>
      </w:r>
      <w:r w:rsidRPr="00AB4573">
        <w:rPr>
          <w:rFonts w:ascii="Times New Roman" w:hAnsi="Times New Roman" w:cs="Times New Roman"/>
          <w:sz w:val="24"/>
          <w:szCs w:val="24"/>
        </w:rPr>
        <w:t xml:space="preserve">hay que ver si la gestión institucional es capaz de generar confianza o no a corto </w:t>
      </w:r>
      <w:r w:rsidR="008229D5">
        <w:rPr>
          <w:rFonts w:ascii="Times New Roman" w:hAnsi="Times New Roman" w:cs="Times New Roman"/>
          <w:sz w:val="24"/>
          <w:szCs w:val="24"/>
        </w:rPr>
        <w:t>plazo</w:t>
      </w:r>
      <w:r w:rsidRPr="00AB4573">
        <w:rPr>
          <w:rFonts w:ascii="Times New Roman" w:hAnsi="Times New Roman" w:cs="Times New Roman"/>
          <w:sz w:val="24"/>
          <w:szCs w:val="24"/>
        </w:rPr>
        <w:t>.</w:t>
      </w:r>
    </w:p>
    <w:p w:rsidR="00920EC8" w:rsidRDefault="00920EC8" w:rsidP="00A6611C">
      <w:pPr>
        <w:rPr>
          <w:rFonts w:ascii="Times New Roman" w:hAnsi="Times New Roman" w:cs="Times New Roman"/>
          <w:b/>
          <w:sz w:val="24"/>
          <w:szCs w:val="24"/>
        </w:rPr>
      </w:pPr>
    </w:p>
    <w:p w:rsidR="00920EC8" w:rsidRDefault="00920EC8" w:rsidP="00A6611C">
      <w:pPr>
        <w:rPr>
          <w:rFonts w:ascii="Times New Roman" w:hAnsi="Times New Roman" w:cs="Times New Roman"/>
          <w:b/>
          <w:sz w:val="24"/>
          <w:szCs w:val="24"/>
        </w:rPr>
      </w:pPr>
    </w:p>
    <w:p w:rsidR="0095733D" w:rsidRDefault="0095733D" w:rsidP="00A6611C">
      <w:pPr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b/>
          <w:sz w:val="24"/>
          <w:szCs w:val="24"/>
        </w:rPr>
        <w:t xml:space="preserve">Las </w:t>
      </w:r>
      <w:r w:rsidR="00982372" w:rsidRPr="00AB4573">
        <w:rPr>
          <w:rFonts w:ascii="Times New Roman" w:hAnsi="Times New Roman" w:cs="Times New Roman"/>
          <w:b/>
          <w:sz w:val="24"/>
          <w:szCs w:val="24"/>
        </w:rPr>
        <w:t>tendencias:</w:t>
      </w:r>
      <w:r w:rsidRPr="00AB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573">
        <w:rPr>
          <w:rFonts w:ascii="Times New Roman" w:hAnsi="Times New Roman" w:cs="Times New Roman"/>
          <w:sz w:val="24"/>
          <w:szCs w:val="24"/>
        </w:rPr>
        <w:t xml:space="preserve">consiste en poder anticiparse </w:t>
      </w:r>
      <w:r w:rsidR="00982372" w:rsidRPr="00AB4573">
        <w:rPr>
          <w:rFonts w:ascii="Times New Roman" w:hAnsi="Times New Roman" w:cs="Times New Roman"/>
          <w:sz w:val="24"/>
          <w:szCs w:val="24"/>
        </w:rPr>
        <w:t>a este riesgo y hay que estar atentos</w:t>
      </w:r>
      <w:r w:rsidR="008229D5">
        <w:rPr>
          <w:rFonts w:ascii="Times New Roman" w:hAnsi="Times New Roman" w:cs="Times New Roman"/>
          <w:sz w:val="24"/>
          <w:szCs w:val="24"/>
        </w:rPr>
        <w:t xml:space="preserve"> a cualquier </w:t>
      </w:r>
      <w:r w:rsidR="00586B54">
        <w:rPr>
          <w:rFonts w:ascii="Times New Roman" w:hAnsi="Times New Roman" w:cs="Times New Roman"/>
          <w:sz w:val="24"/>
          <w:szCs w:val="24"/>
        </w:rPr>
        <w:t>situación</w:t>
      </w:r>
      <w:r w:rsidR="008229D5">
        <w:rPr>
          <w:rFonts w:ascii="Times New Roman" w:hAnsi="Times New Roman" w:cs="Times New Roman"/>
          <w:sz w:val="24"/>
          <w:szCs w:val="24"/>
        </w:rPr>
        <w:t>.</w:t>
      </w:r>
    </w:p>
    <w:p w:rsidR="0095733D" w:rsidRPr="00AB4573" w:rsidRDefault="0095733D" w:rsidP="00A6611C">
      <w:pPr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BF6B7E" w:rsidRPr="00AB4573">
        <w:rPr>
          <w:rFonts w:ascii="Times New Roman" w:hAnsi="Times New Roman" w:cs="Times New Roman"/>
          <w:b/>
          <w:sz w:val="24"/>
          <w:szCs w:val="24"/>
        </w:rPr>
        <w:t>exposición:</w:t>
      </w:r>
      <w:r w:rsidR="00982372" w:rsidRPr="00AB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372" w:rsidRPr="00AB4573">
        <w:rPr>
          <w:rFonts w:ascii="Times New Roman" w:hAnsi="Times New Roman" w:cs="Times New Roman"/>
          <w:sz w:val="24"/>
          <w:szCs w:val="24"/>
        </w:rPr>
        <w:t xml:space="preserve">cuanto más grande es la institución tiene que ser </w:t>
      </w:r>
      <w:r w:rsidR="001879D9" w:rsidRPr="00AB4573">
        <w:rPr>
          <w:rFonts w:ascii="Times New Roman" w:hAnsi="Times New Roman" w:cs="Times New Roman"/>
          <w:sz w:val="24"/>
          <w:szCs w:val="24"/>
        </w:rPr>
        <w:t>más</w:t>
      </w:r>
      <w:r w:rsidR="00982372" w:rsidRPr="00AB4573">
        <w:rPr>
          <w:rFonts w:ascii="Times New Roman" w:hAnsi="Times New Roman" w:cs="Times New Roman"/>
          <w:sz w:val="24"/>
          <w:szCs w:val="24"/>
        </w:rPr>
        <w:t xml:space="preserve"> responsable</w:t>
      </w:r>
      <w:r w:rsidR="00586B54">
        <w:rPr>
          <w:rFonts w:ascii="Times New Roman" w:hAnsi="Times New Roman" w:cs="Times New Roman"/>
          <w:sz w:val="24"/>
          <w:szCs w:val="24"/>
        </w:rPr>
        <w:t xml:space="preserve"> con su función </w:t>
      </w:r>
    </w:p>
    <w:p w:rsidR="003D42CB" w:rsidRDefault="0095733D" w:rsidP="00A6611C">
      <w:pPr>
        <w:rPr>
          <w:rFonts w:ascii="Times New Roman" w:hAnsi="Times New Roman" w:cs="Times New Roman"/>
          <w:sz w:val="24"/>
          <w:szCs w:val="24"/>
        </w:rPr>
      </w:pPr>
      <w:r w:rsidRPr="00AB4573">
        <w:rPr>
          <w:rFonts w:ascii="Times New Roman" w:hAnsi="Times New Roman" w:cs="Times New Roman"/>
          <w:b/>
          <w:sz w:val="24"/>
          <w:szCs w:val="24"/>
        </w:rPr>
        <w:t xml:space="preserve">Los medios </w:t>
      </w:r>
      <w:r w:rsidR="00BF6B7E" w:rsidRPr="00AB4573">
        <w:rPr>
          <w:rFonts w:ascii="Times New Roman" w:hAnsi="Times New Roman" w:cs="Times New Roman"/>
          <w:b/>
          <w:sz w:val="24"/>
          <w:szCs w:val="24"/>
        </w:rPr>
        <w:t>sociales:</w:t>
      </w:r>
      <w:r w:rsidR="00982372" w:rsidRPr="00AB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372" w:rsidRPr="00AB4573">
        <w:rPr>
          <w:rFonts w:ascii="Times New Roman" w:hAnsi="Times New Roman" w:cs="Times New Roman"/>
          <w:sz w:val="24"/>
          <w:szCs w:val="24"/>
        </w:rPr>
        <w:t>este consiste en las redes sociales donde todo se conoce con gran rapidez</w:t>
      </w:r>
      <w:r w:rsidR="00586B54">
        <w:rPr>
          <w:rFonts w:ascii="Times New Roman" w:hAnsi="Times New Roman" w:cs="Times New Roman"/>
          <w:sz w:val="24"/>
          <w:szCs w:val="24"/>
        </w:rPr>
        <w:t xml:space="preserve"> hay que ser cuidadoso</w:t>
      </w:r>
      <w:r w:rsidR="00D44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7E" w:rsidRPr="00F53B14" w:rsidRDefault="00A94A4B" w:rsidP="00D9222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C23828" w:rsidRPr="00F53B14">
        <w:rPr>
          <w:rFonts w:ascii="Times New Roman" w:hAnsi="Times New Roman" w:cs="Times New Roman"/>
          <w:b/>
          <w:sz w:val="24"/>
          <w:szCs w:val="24"/>
        </w:rPr>
        <w:t xml:space="preserve">Dichas metodologías fueron aprobadas por el </w:t>
      </w:r>
      <w:r w:rsidR="00F53B14" w:rsidRPr="00F53B14">
        <w:rPr>
          <w:rFonts w:ascii="Times New Roman" w:hAnsi="Times New Roman" w:cs="Times New Roman"/>
          <w:b/>
          <w:sz w:val="24"/>
          <w:szCs w:val="24"/>
        </w:rPr>
        <w:t>H</w:t>
      </w:r>
      <w:r w:rsidR="00C23828" w:rsidRPr="00F53B14">
        <w:rPr>
          <w:rFonts w:ascii="Times New Roman" w:hAnsi="Times New Roman" w:cs="Times New Roman"/>
          <w:b/>
          <w:sz w:val="24"/>
          <w:szCs w:val="24"/>
        </w:rPr>
        <w:t xml:space="preserve">onorable Consejo Directivo, </w:t>
      </w:r>
      <w:r w:rsidR="00D92229">
        <w:rPr>
          <w:rFonts w:ascii="Times New Roman" w:hAnsi="Times New Roman" w:cs="Times New Roman"/>
          <w:b/>
          <w:sz w:val="24"/>
          <w:szCs w:val="24"/>
        </w:rPr>
        <w:t xml:space="preserve">mediante Resolución No. 367, </w:t>
      </w:r>
      <w:r w:rsidR="00C23828" w:rsidRPr="00F53B14">
        <w:rPr>
          <w:rFonts w:ascii="Times New Roman" w:hAnsi="Times New Roman" w:cs="Times New Roman"/>
          <w:b/>
          <w:sz w:val="24"/>
          <w:szCs w:val="24"/>
        </w:rPr>
        <w:t>sesión CD 41/2014</w:t>
      </w:r>
      <w:r w:rsidR="00D92229">
        <w:rPr>
          <w:rFonts w:ascii="Times New Roman" w:hAnsi="Times New Roman" w:cs="Times New Roman"/>
          <w:b/>
          <w:sz w:val="24"/>
          <w:szCs w:val="24"/>
        </w:rPr>
        <w:t>,</w:t>
      </w:r>
      <w:r w:rsidR="0006567E" w:rsidRPr="00F53B14">
        <w:rPr>
          <w:rFonts w:ascii="Times New Roman" w:hAnsi="Times New Roman" w:cs="Times New Roman"/>
          <w:b/>
          <w:sz w:val="24"/>
          <w:szCs w:val="24"/>
        </w:rPr>
        <w:t xml:space="preserve"> de fecha 22 de octubre de 2014. </w:t>
      </w:r>
    </w:p>
    <w:p w:rsidR="00F53B14" w:rsidRDefault="0006567E" w:rsidP="00D922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14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F53B14" w:rsidRPr="00F53B14">
        <w:rPr>
          <w:rFonts w:ascii="Times New Roman" w:hAnsi="Times New Roman" w:cs="Times New Roman"/>
          <w:b/>
          <w:sz w:val="24"/>
          <w:szCs w:val="24"/>
        </w:rPr>
        <w:t xml:space="preserve">Actualización de la </w:t>
      </w:r>
      <w:r w:rsidRPr="00F53B14">
        <w:rPr>
          <w:rFonts w:ascii="Times New Roman" w:hAnsi="Times New Roman" w:cs="Times New Roman"/>
          <w:b/>
          <w:sz w:val="24"/>
          <w:szCs w:val="24"/>
        </w:rPr>
        <w:t>Metodología para la</w:t>
      </w:r>
      <w:r w:rsidR="00F53B14" w:rsidRPr="00F5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B14">
        <w:rPr>
          <w:rFonts w:ascii="Times New Roman" w:hAnsi="Times New Roman" w:cs="Times New Roman"/>
          <w:b/>
          <w:sz w:val="24"/>
          <w:szCs w:val="24"/>
        </w:rPr>
        <w:t>Gestión del Riesgo Operacional</w:t>
      </w:r>
      <w:r w:rsidR="00A9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14" w:rsidRPr="00F53B14">
        <w:rPr>
          <w:rFonts w:ascii="Times New Roman" w:hAnsi="Times New Roman" w:cs="Times New Roman"/>
          <w:b/>
          <w:sz w:val="24"/>
          <w:szCs w:val="24"/>
        </w:rPr>
        <w:t xml:space="preserve">fue Aprobada por el Honorable Consejo Directivo mediante Resolución No. 129, </w:t>
      </w:r>
      <w:r w:rsidR="00D92229">
        <w:rPr>
          <w:rFonts w:ascii="Times New Roman" w:hAnsi="Times New Roman" w:cs="Times New Roman"/>
          <w:b/>
          <w:sz w:val="24"/>
          <w:szCs w:val="24"/>
        </w:rPr>
        <w:t xml:space="preserve">en la </w:t>
      </w:r>
      <w:r w:rsidR="00F53B14" w:rsidRPr="00F53B14">
        <w:rPr>
          <w:rFonts w:ascii="Times New Roman" w:hAnsi="Times New Roman" w:cs="Times New Roman"/>
          <w:b/>
          <w:sz w:val="24"/>
          <w:szCs w:val="24"/>
        </w:rPr>
        <w:t>sesión CD 44/2015</w:t>
      </w:r>
      <w:r w:rsidR="00D92229">
        <w:rPr>
          <w:rFonts w:ascii="Times New Roman" w:hAnsi="Times New Roman" w:cs="Times New Roman"/>
          <w:b/>
          <w:sz w:val="24"/>
          <w:szCs w:val="24"/>
        </w:rPr>
        <w:t>,</w:t>
      </w:r>
      <w:r w:rsidR="00F53B14" w:rsidRPr="00F53B14">
        <w:rPr>
          <w:rFonts w:ascii="Times New Roman" w:hAnsi="Times New Roman" w:cs="Times New Roman"/>
          <w:b/>
          <w:sz w:val="24"/>
          <w:szCs w:val="24"/>
        </w:rPr>
        <w:t xml:space="preserve"> de fecha 15 de Diciembre de 2015.</w:t>
      </w:r>
    </w:p>
    <w:p w:rsidR="008229D5" w:rsidRPr="00F53B14" w:rsidRDefault="008229D5" w:rsidP="00D922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E2E" w:rsidRDefault="00586B54" w:rsidP="0075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Siempre en </w:t>
      </w:r>
      <w:r w:rsidR="0030520A">
        <w:rPr>
          <w:rFonts w:ascii="Times New Roman" w:hAnsi="Times New Roman" w:cs="Times New Roman"/>
          <w:sz w:val="24"/>
          <w:szCs w:val="24"/>
        </w:rPr>
        <w:t xml:space="preserve"> cumplimiento</w:t>
      </w:r>
      <w:r w:rsidR="004B1D83">
        <w:rPr>
          <w:rFonts w:ascii="Times New Roman" w:hAnsi="Times New Roman" w:cs="Times New Roman"/>
          <w:sz w:val="24"/>
          <w:szCs w:val="24"/>
        </w:rPr>
        <w:t xml:space="preserve"> al Art.12 de las “NORMAS PARA LA GESTION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B1D83">
        <w:rPr>
          <w:rFonts w:ascii="Times New Roman" w:hAnsi="Times New Roman" w:cs="Times New Roman"/>
          <w:sz w:val="24"/>
          <w:szCs w:val="24"/>
        </w:rPr>
        <w:t>DEL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B1D83">
        <w:rPr>
          <w:rFonts w:ascii="Times New Roman" w:hAnsi="Times New Roman" w:cs="Times New Roman"/>
          <w:sz w:val="24"/>
          <w:szCs w:val="24"/>
        </w:rPr>
        <w:t>RIESGO OPERACIONAL DE LAS ENTIDADES FINANCIERAS”</w:t>
      </w:r>
      <w:r w:rsidR="00C4005F">
        <w:rPr>
          <w:rFonts w:ascii="Times New Roman" w:hAnsi="Times New Roman" w:cs="Times New Roman"/>
          <w:sz w:val="24"/>
          <w:szCs w:val="24"/>
        </w:rPr>
        <w:t>, NPB4</w:t>
      </w:r>
      <w:r w:rsidR="006F4486">
        <w:rPr>
          <w:rFonts w:ascii="Times New Roman" w:hAnsi="Times New Roman" w:cs="Times New Roman"/>
          <w:sz w:val="24"/>
          <w:szCs w:val="24"/>
        </w:rPr>
        <w:t>-</w:t>
      </w:r>
      <w:r w:rsidR="00C4005F">
        <w:rPr>
          <w:rFonts w:ascii="Times New Roman" w:hAnsi="Times New Roman" w:cs="Times New Roman"/>
          <w:sz w:val="24"/>
          <w:szCs w:val="24"/>
        </w:rPr>
        <w:t>50,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 w:rsidR="004B1D8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mantienen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4B1D83">
        <w:rPr>
          <w:rFonts w:ascii="Times New Roman" w:hAnsi="Times New Roman" w:cs="Times New Roman"/>
          <w:sz w:val="24"/>
          <w:szCs w:val="24"/>
        </w:rPr>
        <w:t xml:space="preserve"> “LAS POLITICAS PARA LA GESTION INTEGRAL DE RIESGOS”, </w:t>
      </w:r>
    </w:p>
    <w:p w:rsidR="00F53B14" w:rsidRDefault="00F53B14" w:rsidP="00755BE0">
      <w:pPr>
        <w:rPr>
          <w:rFonts w:ascii="Times New Roman" w:hAnsi="Times New Roman" w:cs="Times New Roman"/>
          <w:sz w:val="24"/>
          <w:szCs w:val="24"/>
        </w:rPr>
      </w:pPr>
    </w:p>
    <w:p w:rsidR="00C4005F" w:rsidRPr="00D92229" w:rsidRDefault="00C4005F" w:rsidP="00C40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29">
        <w:rPr>
          <w:rFonts w:ascii="Times New Roman" w:hAnsi="Times New Roman" w:cs="Times New Roman"/>
          <w:b/>
          <w:sz w:val="28"/>
          <w:szCs w:val="28"/>
        </w:rPr>
        <w:t>PRINCIPIOS BÁSICOS</w:t>
      </w:r>
      <w:r w:rsidR="00586B54">
        <w:rPr>
          <w:rFonts w:ascii="Times New Roman" w:hAnsi="Times New Roman" w:cs="Times New Roman"/>
          <w:b/>
          <w:sz w:val="28"/>
          <w:szCs w:val="28"/>
        </w:rPr>
        <w:t xml:space="preserve"> PARA LA GESTION INTEGRAL DE RIESGOS </w:t>
      </w:r>
    </w:p>
    <w:p w:rsidR="00C4005F" w:rsidRPr="00305428" w:rsidRDefault="00C4005F" w:rsidP="00C4005F">
      <w:pPr>
        <w:pStyle w:val="Default"/>
        <w:spacing w:line="360" w:lineRule="auto"/>
        <w:ind w:left="142"/>
        <w:jc w:val="both"/>
      </w:pPr>
      <w:r w:rsidRPr="00305428">
        <w:t xml:space="preserve">El </w:t>
      </w:r>
      <w:r w:rsidR="00524C07">
        <w:t>Proceso</w:t>
      </w:r>
      <w:r w:rsidRPr="00305428">
        <w:t xml:space="preserve"> de gestión integral de riesgos del IPSFA se basa en principios básicos relacionados con: </w:t>
      </w:r>
    </w:p>
    <w:p w:rsidR="00C4005F" w:rsidRPr="00305428" w:rsidRDefault="00C4005F" w:rsidP="00C4005F">
      <w:pPr>
        <w:pStyle w:val="Default"/>
        <w:numPr>
          <w:ilvl w:val="0"/>
          <w:numId w:val="15"/>
        </w:numPr>
        <w:spacing w:line="360" w:lineRule="auto"/>
        <w:jc w:val="both"/>
      </w:pPr>
      <w:r w:rsidRPr="00305428">
        <w:t xml:space="preserve">La protección de los activos </w:t>
      </w:r>
      <w:r>
        <w:t>Institucionales</w:t>
      </w:r>
      <w:r w:rsidRPr="00305428">
        <w:t xml:space="preserve">. </w:t>
      </w:r>
    </w:p>
    <w:p w:rsidR="00C4005F" w:rsidRPr="006B6E87" w:rsidRDefault="00C4005F" w:rsidP="00C4005F">
      <w:pPr>
        <w:pStyle w:val="Default"/>
        <w:numPr>
          <w:ilvl w:val="0"/>
          <w:numId w:val="15"/>
        </w:numPr>
        <w:spacing w:line="360" w:lineRule="auto"/>
        <w:jc w:val="both"/>
      </w:pPr>
      <w:r w:rsidRPr="00305428">
        <w:t>La integración de la gestión de riesgos en todos</w:t>
      </w:r>
      <w:r w:rsidR="00A94A4B">
        <w:t xml:space="preserve"> </w:t>
      </w:r>
      <w:r w:rsidRPr="00305428">
        <w:t xml:space="preserve">los procesos institucionales. </w:t>
      </w:r>
    </w:p>
    <w:p w:rsidR="00C4005F" w:rsidRPr="006B6E87" w:rsidRDefault="00C4005F" w:rsidP="00C4005F">
      <w:pPr>
        <w:pStyle w:val="Default"/>
        <w:numPr>
          <w:ilvl w:val="0"/>
          <w:numId w:val="15"/>
        </w:numPr>
        <w:spacing w:line="360" w:lineRule="auto"/>
        <w:jc w:val="both"/>
      </w:pPr>
      <w:r w:rsidRPr="00305428">
        <w:t>La toma de decisiones basadas en riesgos, acorde con la mejor información disponible de cada una de las unidades.</w:t>
      </w:r>
    </w:p>
    <w:p w:rsidR="00C4005F" w:rsidRDefault="00C4005F" w:rsidP="00C4005F">
      <w:pPr>
        <w:pStyle w:val="Default"/>
        <w:numPr>
          <w:ilvl w:val="0"/>
          <w:numId w:val="15"/>
        </w:numPr>
        <w:spacing w:line="360" w:lineRule="auto"/>
        <w:jc w:val="both"/>
      </w:pPr>
      <w:r w:rsidRPr="00305428">
        <w:t>El establecimiento de un esquema comprensivo y sistemático en todo el instituto, incluyendo la priorización de los riesgos y procedimientos</w:t>
      </w:r>
      <w:r>
        <w:t xml:space="preserve"> y acciones de control</w:t>
      </w:r>
      <w:r w:rsidR="00A94A4B">
        <w:t xml:space="preserve"> </w:t>
      </w:r>
      <w:r w:rsidRPr="00305428">
        <w:t xml:space="preserve">de mitigación. </w:t>
      </w:r>
    </w:p>
    <w:p w:rsidR="00F53B14" w:rsidRDefault="00C4005F" w:rsidP="00C4005F">
      <w:pPr>
        <w:pStyle w:val="Default"/>
        <w:numPr>
          <w:ilvl w:val="0"/>
          <w:numId w:val="15"/>
        </w:numPr>
        <w:spacing w:line="360" w:lineRule="auto"/>
        <w:jc w:val="both"/>
      </w:pPr>
      <w:r w:rsidRPr="00305428">
        <w:t xml:space="preserve">La aplicación de un enfoque proactivo, orientado a la mejora continua en la administración de los riesgos que enfrenta y al aseguramiento de que la política de riesgo siga siendo adecuada y pertinente. </w:t>
      </w:r>
    </w:p>
    <w:p w:rsidR="00586B54" w:rsidRDefault="00586B54" w:rsidP="00586B54">
      <w:pPr>
        <w:pStyle w:val="Default"/>
        <w:spacing w:line="360" w:lineRule="auto"/>
        <w:ind w:left="360"/>
        <w:jc w:val="both"/>
      </w:pPr>
    </w:p>
    <w:p w:rsidR="00586B54" w:rsidRDefault="00586B54" w:rsidP="00F53B14">
      <w:pPr>
        <w:pStyle w:val="Default"/>
        <w:spacing w:line="360" w:lineRule="auto"/>
        <w:ind w:left="720"/>
        <w:jc w:val="both"/>
      </w:pPr>
    </w:p>
    <w:p w:rsidR="00586B54" w:rsidRDefault="00586B54" w:rsidP="00F53B14">
      <w:pPr>
        <w:pStyle w:val="Default"/>
        <w:spacing w:line="360" w:lineRule="auto"/>
        <w:ind w:left="720"/>
        <w:jc w:val="both"/>
      </w:pPr>
    </w:p>
    <w:p w:rsidR="00586B54" w:rsidRDefault="00586B54" w:rsidP="00F53B14">
      <w:pPr>
        <w:pStyle w:val="Default"/>
        <w:spacing w:line="360" w:lineRule="auto"/>
        <w:ind w:left="720"/>
        <w:jc w:val="both"/>
      </w:pPr>
    </w:p>
    <w:p w:rsidR="00C4005F" w:rsidRPr="00F53B14" w:rsidRDefault="00C4005F" w:rsidP="00F53B14">
      <w:pPr>
        <w:pStyle w:val="Default"/>
        <w:spacing w:line="360" w:lineRule="auto"/>
        <w:ind w:left="720"/>
        <w:jc w:val="both"/>
      </w:pPr>
      <w:r w:rsidRPr="006B6E87">
        <w:t>La gestión integral de riesgos es dinámica, participativa, transparente, según el perfil de riesgo y cambios que afronte el Instituto de</w:t>
      </w:r>
      <w:r w:rsidRPr="00C4005F">
        <w:t xml:space="preserve"> </w:t>
      </w:r>
      <w:r w:rsidRPr="006B6E87">
        <w:t>Previsión Social de la Fuerza Armada</w:t>
      </w:r>
    </w:p>
    <w:p w:rsidR="00C4005F" w:rsidRDefault="00C4005F" w:rsidP="00755BE0">
      <w:pPr>
        <w:rPr>
          <w:rFonts w:ascii="Times New Roman" w:hAnsi="Times New Roman" w:cs="Times New Roman"/>
          <w:sz w:val="24"/>
          <w:szCs w:val="24"/>
        </w:rPr>
      </w:pPr>
    </w:p>
    <w:p w:rsidR="001108F4" w:rsidRDefault="001108F4" w:rsidP="001108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29">
        <w:rPr>
          <w:rFonts w:ascii="Times New Roman" w:hAnsi="Times New Roman" w:cs="Times New Roman"/>
          <w:b/>
          <w:sz w:val="28"/>
          <w:szCs w:val="28"/>
        </w:rPr>
        <w:t>POLITICAS</w:t>
      </w:r>
      <w:r w:rsidR="00A94A4B" w:rsidRPr="00D9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229">
        <w:rPr>
          <w:rFonts w:ascii="Times New Roman" w:hAnsi="Times New Roman" w:cs="Times New Roman"/>
          <w:b/>
          <w:sz w:val="28"/>
          <w:szCs w:val="28"/>
        </w:rPr>
        <w:t>DE GESTION INTEGRAL DE RIESGOS</w:t>
      </w:r>
    </w:p>
    <w:p w:rsidR="001108F4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EE6D38">
        <w:t>Implementar el modelo de gestión integral del riesgo en el IPSFA, teniendo en cuenta los aspectos que satisfagan las características específicas y</w:t>
      </w:r>
      <w:r w:rsidR="00A94A4B">
        <w:t xml:space="preserve"> </w:t>
      </w:r>
      <w:r w:rsidRPr="00EE6D38">
        <w:t>su naturaleza.</w:t>
      </w:r>
    </w:p>
    <w:p w:rsidR="001108F4" w:rsidRPr="00EE6D38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EE6D38">
        <w:t>Garantizar el cumplimiento</w:t>
      </w:r>
      <w:r w:rsidR="00A94A4B">
        <w:t xml:space="preserve"> </w:t>
      </w:r>
      <w:r w:rsidRPr="00EE6D38">
        <w:t>de las normas y procedimientos de gestión integral de riesgos en las diferentes áreas del instituto.</w:t>
      </w:r>
    </w:p>
    <w:p w:rsidR="001108F4" w:rsidRPr="00EE6D38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EE6D38">
        <w:t>La unidad de</w:t>
      </w:r>
      <w:r>
        <w:t xml:space="preserve"> Cumplimiento y</w:t>
      </w:r>
      <w:r w:rsidR="00A94A4B">
        <w:t xml:space="preserve"> </w:t>
      </w:r>
      <w:r>
        <w:t>R</w:t>
      </w:r>
      <w:r w:rsidRPr="00EE6D38">
        <w:t>iesgo actuara</w:t>
      </w:r>
      <w:r w:rsidR="00A94A4B">
        <w:t xml:space="preserve"> </w:t>
      </w:r>
      <w:r w:rsidRPr="00EE6D38">
        <w:t>como asesor</w:t>
      </w:r>
      <w:r w:rsidR="00A94A4B">
        <w:t xml:space="preserve"> </w:t>
      </w:r>
      <w:r w:rsidRPr="00EE6D38">
        <w:t>para todos los involucrados en el proceso de gestión integral de riesgos a nivel institucional.</w:t>
      </w:r>
    </w:p>
    <w:p w:rsidR="001108F4" w:rsidRPr="00EE6D38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EE6D38">
        <w:t xml:space="preserve">Consolidar los datos recolectados por los Propietarios de Riesgos, obtener riesgos </w:t>
      </w:r>
      <w:r>
        <w:t xml:space="preserve">y actualizar la matriz de riesgo operacional institucional </w:t>
      </w:r>
      <w:r w:rsidRPr="00EE6D38">
        <w:t>e informar sobre los principales riesgos del IPSFA</w:t>
      </w:r>
    </w:p>
    <w:p w:rsidR="001108F4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EE6D38">
        <w:t>Ser responsable del proceso de integración de la gestión integral de riesgos con el ciclo de planificación con cada una de las áreas del IPSFA.</w:t>
      </w:r>
    </w:p>
    <w:p w:rsidR="001108F4" w:rsidRPr="00AD610C" w:rsidRDefault="001108F4" w:rsidP="001108F4">
      <w:pPr>
        <w:pStyle w:val="Default"/>
        <w:numPr>
          <w:ilvl w:val="0"/>
          <w:numId w:val="13"/>
        </w:numPr>
        <w:spacing w:line="360" w:lineRule="auto"/>
        <w:jc w:val="both"/>
      </w:pPr>
      <w:r w:rsidRPr="008B7DAC">
        <w:t>Para el caso específico de la gestión del riesgo operacional los jefes de unidades y áreas reportarán de forma oportuna e inmediata el Registro de Eventos de Riesgo Operacional</w:t>
      </w:r>
      <w:r w:rsidR="00A94A4B">
        <w:t xml:space="preserve"> </w:t>
      </w:r>
      <w:r w:rsidRPr="008B7DAC">
        <w:t>reales o potenciales</w:t>
      </w:r>
      <w:r w:rsidR="00A94A4B">
        <w:t xml:space="preserve"> </w:t>
      </w:r>
      <w:r w:rsidRPr="008B7DAC">
        <w:t>del instituto al momento de detectarlos</w:t>
      </w:r>
      <w:r>
        <w:t>.</w:t>
      </w:r>
    </w:p>
    <w:p w:rsidR="001108F4" w:rsidRPr="00EE6D38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EE6D38">
        <w:t>Actuar como asesor de todas las áreas del proceso de gestión integral de riesgos de identificación, evaluación, respuesta y seguimiento</w:t>
      </w:r>
    </w:p>
    <w:p w:rsidR="001108F4" w:rsidRPr="00EE6D38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>
        <w:t>Periódicamente se presentar</w:t>
      </w:r>
      <w:r w:rsidR="00D92229">
        <w:t>á</w:t>
      </w:r>
      <w:r>
        <w:t xml:space="preserve"> </w:t>
      </w:r>
      <w:r w:rsidR="00D92229">
        <w:t xml:space="preserve">la </w:t>
      </w:r>
      <w:r w:rsidRPr="00EE6D38">
        <w:t>propuesta de los diferentes riesgos al Comité de Riesgos para su conocimiento y visto bueno</w:t>
      </w:r>
      <w:r>
        <w:t xml:space="preserve">, y al Honorable Consejo Directivo para su aprobación. </w:t>
      </w:r>
    </w:p>
    <w:p w:rsidR="001108F4" w:rsidRDefault="001108F4" w:rsidP="00D92229">
      <w:pPr>
        <w:pStyle w:val="Default"/>
        <w:numPr>
          <w:ilvl w:val="0"/>
          <w:numId w:val="13"/>
        </w:numPr>
        <w:spacing w:line="360" w:lineRule="auto"/>
        <w:jc w:val="both"/>
      </w:pPr>
      <w:r w:rsidRPr="00DF54D0">
        <w:t>Proponer ante el Comité de Riesgos para su autorización y posterior</w:t>
      </w:r>
      <w:r w:rsidR="00A94A4B">
        <w:t xml:space="preserve"> </w:t>
      </w:r>
      <w:r w:rsidRPr="00DF54D0">
        <w:t>aprobación por el Consejo Directivo, las metodologías</w:t>
      </w:r>
      <w:r w:rsidR="00586B54">
        <w:t xml:space="preserve"> y políticas para la gestión de los diferentes</w:t>
      </w:r>
      <w:r w:rsidR="007F087B">
        <w:t xml:space="preserve"> tipos de riesgos.</w:t>
      </w:r>
    </w:p>
    <w:p w:rsidR="001108F4" w:rsidRDefault="001108F4" w:rsidP="00D92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cumplimiento al Art.13 de las “NORMAS PARA LA GESTION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RIESGO OPERACIONAL DE LAS ENTIDADES FINANCIERAS</w:t>
      </w:r>
      <w:r w:rsidR="006F4486">
        <w:rPr>
          <w:rFonts w:ascii="Times New Roman" w:hAnsi="Times New Roman" w:cs="Times New Roman"/>
          <w:sz w:val="24"/>
          <w:szCs w:val="24"/>
        </w:rPr>
        <w:t>”NPB4-50</w:t>
      </w:r>
      <w:r w:rsidR="00D92229">
        <w:rPr>
          <w:rFonts w:ascii="Times New Roman" w:hAnsi="Times New Roman" w:cs="Times New Roman"/>
          <w:sz w:val="24"/>
          <w:szCs w:val="24"/>
        </w:rPr>
        <w:t>,</w:t>
      </w:r>
      <w:r w:rsidR="00A9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F087B">
        <w:rPr>
          <w:rFonts w:ascii="Times New Roman" w:hAnsi="Times New Roman" w:cs="Times New Roman"/>
          <w:sz w:val="24"/>
          <w:szCs w:val="24"/>
        </w:rPr>
        <w:t>mantiene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6F4486">
        <w:rPr>
          <w:rFonts w:ascii="Times New Roman" w:hAnsi="Times New Roman" w:cs="Times New Roman"/>
          <w:sz w:val="24"/>
          <w:szCs w:val="24"/>
        </w:rPr>
        <w:t>EL MANUAL DE GESTION INTEGRAL DE RIESGOS”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81E" w:rsidRDefault="0028481E" w:rsidP="00D92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05F" w:rsidRDefault="00C4005F" w:rsidP="00C4005F">
      <w:pPr>
        <w:spacing w:after="0" w:line="360" w:lineRule="auto"/>
        <w:jc w:val="center"/>
        <w:rPr>
          <w:b/>
          <w:sz w:val="24"/>
          <w:szCs w:val="24"/>
        </w:rPr>
      </w:pPr>
    </w:p>
    <w:p w:rsidR="00586B54" w:rsidRDefault="00586B54" w:rsidP="00C40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5F" w:rsidRPr="00D92229" w:rsidRDefault="00C4005F" w:rsidP="00C40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29">
        <w:rPr>
          <w:rFonts w:ascii="Times New Roman" w:hAnsi="Times New Roman" w:cs="Times New Roman"/>
          <w:b/>
          <w:sz w:val="28"/>
          <w:szCs w:val="28"/>
        </w:rPr>
        <w:t>GESTION INTEGRAL DE RIESGO.</w:t>
      </w:r>
    </w:p>
    <w:p w:rsidR="00C4005F" w:rsidRDefault="00C4005F" w:rsidP="00C4005F">
      <w:pPr>
        <w:spacing w:line="360" w:lineRule="auto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El IPSFA establece un sistema de gestión integral de riesgos, que deberá entenderse como un proceso estratégico realizado por las diferentes unidades, mediante el cual identifican, miden, controlan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y monitorean los distintos tipos de riesgos a que se encuentran expuestas y las interrelaciones que surgen entre estos, para mantener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una seguridad razonable en el logro de sus objetivos. Dicha gestión deberá estar acorde a la magnitud, naturaleza de sus actividades de cada unidad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y recursos de la entidad, dada la base normativa para la Administración Integral de Riesgos, y partiendo de lo establecido en el Art. 3.- de la Norma NPB4-47, al mismo tiempo el IPSFA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 xml:space="preserve">plantea para cada tipo de riesgo a monitorear. </w:t>
      </w:r>
    </w:p>
    <w:p w:rsidR="007F087B" w:rsidRPr="007F087B" w:rsidRDefault="007F087B" w:rsidP="007F0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7B">
        <w:rPr>
          <w:rFonts w:ascii="Times New Roman" w:hAnsi="Times New Roman" w:cs="Times New Roman"/>
          <w:b/>
          <w:sz w:val="28"/>
          <w:szCs w:val="28"/>
        </w:rPr>
        <w:t>PROCESO</w:t>
      </w:r>
      <w:r w:rsidR="00B4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87B">
        <w:rPr>
          <w:rFonts w:ascii="Times New Roman" w:hAnsi="Times New Roman" w:cs="Times New Roman"/>
          <w:b/>
          <w:sz w:val="28"/>
          <w:szCs w:val="28"/>
        </w:rPr>
        <w:t xml:space="preserve"> GESTION </w:t>
      </w:r>
      <w:r w:rsidR="00B4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87B">
        <w:rPr>
          <w:rFonts w:ascii="Times New Roman" w:hAnsi="Times New Roman" w:cs="Times New Roman"/>
          <w:b/>
          <w:sz w:val="28"/>
          <w:szCs w:val="28"/>
        </w:rPr>
        <w:t xml:space="preserve">INTEGRAL </w:t>
      </w:r>
      <w:r w:rsidR="00B4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87B">
        <w:rPr>
          <w:rFonts w:ascii="Times New Roman" w:hAnsi="Times New Roman" w:cs="Times New Roman"/>
          <w:b/>
          <w:sz w:val="28"/>
          <w:szCs w:val="28"/>
        </w:rPr>
        <w:t>DE RIESGO</w:t>
      </w:r>
    </w:p>
    <w:p w:rsidR="007F727F" w:rsidRPr="00D92229" w:rsidRDefault="007F727F" w:rsidP="007F087B">
      <w:pPr>
        <w:spacing w:line="360" w:lineRule="auto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Podemos describir la gestión integral de riesgos como un proceso dinámico, necesario e importante, es por ello que la Unidad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de Cumplimiento y Riesgos incluye</w:t>
      </w:r>
      <w:r w:rsidR="00D92229">
        <w:rPr>
          <w:rFonts w:ascii="Times New Roman" w:hAnsi="Times New Roman" w:cs="Times New Roman"/>
        </w:rPr>
        <w:t>,</w:t>
      </w:r>
      <w:r w:rsidRPr="00D92229">
        <w:rPr>
          <w:rFonts w:ascii="Times New Roman" w:hAnsi="Times New Roman" w:cs="Times New Roman"/>
        </w:rPr>
        <w:t xml:space="preserve"> dentro de sus actividades la revisión de </w:t>
      </w:r>
      <w:r w:rsidR="00D92229">
        <w:rPr>
          <w:rFonts w:ascii="Times New Roman" w:hAnsi="Times New Roman" w:cs="Times New Roman"/>
        </w:rPr>
        <w:t xml:space="preserve">la </w:t>
      </w:r>
      <w:r w:rsidRPr="00D92229">
        <w:rPr>
          <w:rFonts w:ascii="Times New Roman" w:hAnsi="Times New Roman" w:cs="Times New Roman"/>
        </w:rPr>
        <w:t>normativa interna relacionada para la elaboración de la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matriz de Riesgo Operacional Institucional. Todos estos procesos están acorde a la magnitud y naturaleza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de la</w:t>
      </w:r>
      <w:r w:rsidR="00B42C50">
        <w:rPr>
          <w:rFonts w:ascii="Times New Roman" w:hAnsi="Times New Roman" w:cs="Times New Roman"/>
        </w:rPr>
        <w:t xml:space="preserve"> institución sus </w:t>
      </w:r>
      <w:r w:rsidRPr="00D92229">
        <w:rPr>
          <w:rFonts w:ascii="Times New Roman" w:hAnsi="Times New Roman" w:cs="Times New Roman"/>
        </w:rPr>
        <w:t xml:space="preserve"> actividades, negocios y recursos de</w:t>
      </w:r>
      <w:r w:rsidR="009B7A1A">
        <w:rPr>
          <w:rFonts w:ascii="Times New Roman" w:hAnsi="Times New Roman" w:cs="Times New Roman"/>
        </w:rPr>
        <w:t>l instituto</w:t>
      </w:r>
      <w:r w:rsidRPr="00D92229">
        <w:rPr>
          <w:rFonts w:ascii="Times New Roman" w:hAnsi="Times New Roman" w:cs="Times New Roman"/>
        </w:rPr>
        <w:t>.</w:t>
      </w:r>
    </w:p>
    <w:p w:rsidR="007F727F" w:rsidRPr="00D92229" w:rsidRDefault="007F727F" w:rsidP="00C33FBF">
      <w:pPr>
        <w:spacing w:line="360" w:lineRule="auto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El instituto considera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que la Gestión y Administración Integral de Riesgos se basa en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principios importantes los cuales se describen a continuación:</w:t>
      </w:r>
    </w:p>
    <w:p w:rsidR="007F727F" w:rsidRPr="00D92229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Transparencia: la Gestión y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Administración Integral de Riesgos debe darse a conocer en una forma visible y transparente de la situación de riesgos que corre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la Institución en el cumplimiento y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desarrollo de sus objetivos.</w:t>
      </w:r>
    </w:p>
    <w:p w:rsidR="007F727F" w:rsidRPr="00D92229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Prudencia: adoptar una forma de operación prudente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y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proactiva, con relación a la exposición de todos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aquellos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riesgos que se involucre con las actividades que se desarrollan en el instituto.</w:t>
      </w:r>
    </w:p>
    <w:p w:rsidR="00DD7DB8" w:rsidRPr="00D92229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Estimación de la Exposición al Riesgo: identificar todos aquellos riesgos relevantes o críticos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y llevar a cabo una medición en forma cualitativa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y cuantificarlos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con base a las metodologías establecidas</w:t>
      </w:r>
      <w:r w:rsidR="00C33FBF">
        <w:rPr>
          <w:rFonts w:ascii="Times New Roman" w:hAnsi="Times New Roman" w:cs="Times New Roman"/>
        </w:rPr>
        <w:t>.</w:t>
      </w:r>
      <w:r w:rsidRPr="00D92229">
        <w:rPr>
          <w:rFonts w:ascii="Times New Roman" w:hAnsi="Times New Roman" w:cs="Times New Roman"/>
        </w:rPr>
        <w:t xml:space="preserve"> </w:t>
      </w:r>
    </w:p>
    <w:p w:rsidR="007F727F" w:rsidRPr="00D92229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estándares aceptados que son de acuerdo a la naturaleza, tamaño y complejidad del Instituto de Previsión Social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de la Fuerza Armada.</w:t>
      </w:r>
    </w:p>
    <w:p w:rsidR="007F727F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Incorporación al Proceso de Toma de Decisiones: la información que se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genera por todas las unidades en el proceso y plasmado en la Matriz de Riesgo Operacional tiene como objetivo y finalidad de permitir al Instituto actuar en consecuencia para garantizar su estabilidad y solvencia en su administración.</w:t>
      </w:r>
    </w:p>
    <w:p w:rsidR="00C7744B" w:rsidRDefault="00C7744B" w:rsidP="00C7744B">
      <w:pPr>
        <w:pStyle w:val="Prrafodelista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8B28B1" w:rsidRPr="00D92229" w:rsidRDefault="008B28B1" w:rsidP="008B28B1">
      <w:pPr>
        <w:pStyle w:val="Prrafodelista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7F727F" w:rsidRPr="00D92229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Supervisión Interna Independiente: la Unidad de Cumplimiento y Riesgo del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Instituto tiene la responsabilidad de mantener una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supervisión y seguimiento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independiente de la administración para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garantizar el apropiado cumplimiento de las diferentes acciones de control, normas y políticas en materia de una excelente administración Integral de Riesgos.</w:t>
      </w:r>
    </w:p>
    <w:p w:rsidR="007F727F" w:rsidRPr="00D92229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Entendimiento</w:t>
      </w:r>
      <w:r w:rsidR="00A94A4B" w:rsidRPr="00D92229">
        <w:rPr>
          <w:rFonts w:ascii="Times New Roman" w:hAnsi="Times New Roman" w:cs="Times New Roman"/>
        </w:rPr>
        <w:t xml:space="preserve"> </w:t>
      </w:r>
      <w:r w:rsidRPr="00D92229">
        <w:rPr>
          <w:rFonts w:ascii="Times New Roman" w:hAnsi="Times New Roman" w:cs="Times New Roman"/>
        </w:rPr>
        <w:t>y Comprensión de los riesgos: El IPSFA limita sus actividades a aquellas en las cuales el riesgo es entendible, cuantificable y controlable y donde se tienen los recursos y experiencia para mantener una adecuada administración de los mismos.</w:t>
      </w:r>
    </w:p>
    <w:p w:rsidR="008229D5" w:rsidRDefault="007F727F" w:rsidP="007F727F">
      <w:pPr>
        <w:pStyle w:val="Prrafodelista"/>
        <w:numPr>
          <w:ilvl w:val="1"/>
          <w:numId w:val="17"/>
        </w:numPr>
        <w:spacing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 xml:space="preserve">Políticas Internas y Procedimientos para la administración de Riesgos: siempre se debe considerar el cumplimiento del marco normativo institucional básico, regulador de las actividades y de los procesos en los cuales se identificaron los riesgos emitidos por las distintas unidades, delimitando </w:t>
      </w:r>
    </w:p>
    <w:p w:rsidR="008229D5" w:rsidRDefault="008229D5" w:rsidP="008229D5">
      <w:pPr>
        <w:pStyle w:val="Prrafodelista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7F727F" w:rsidRDefault="008229D5" w:rsidP="008229D5">
      <w:pPr>
        <w:pStyle w:val="Prrafodelista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92229">
        <w:rPr>
          <w:rFonts w:ascii="Times New Roman" w:hAnsi="Times New Roman" w:cs="Times New Roman"/>
        </w:rPr>
        <w:t>Las</w:t>
      </w:r>
      <w:r w:rsidR="007F727F" w:rsidRPr="00D92229">
        <w:rPr>
          <w:rFonts w:ascii="Times New Roman" w:hAnsi="Times New Roman" w:cs="Times New Roman"/>
        </w:rPr>
        <w:t xml:space="preserve"> atribuciones de los diferentes ejecutivos y mantener un</w:t>
      </w:r>
      <w:r w:rsidR="00A94A4B" w:rsidRPr="00D92229">
        <w:rPr>
          <w:rFonts w:ascii="Times New Roman" w:hAnsi="Times New Roman" w:cs="Times New Roman"/>
        </w:rPr>
        <w:t xml:space="preserve"> </w:t>
      </w:r>
      <w:r w:rsidR="007F727F" w:rsidRPr="00D92229">
        <w:rPr>
          <w:rFonts w:ascii="Times New Roman" w:hAnsi="Times New Roman" w:cs="Times New Roman"/>
        </w:rPr>
        <w:t>margen de delegación de las- responsabilidades sobre los riesgos asumidos.</w:t>
      </w:r>
    </w:p>
    <w:p w:rsidR="008B28B1" w:rsidRDefault="008B28B1" w:rsidP="008229D5">
      <w:pPr>
        <w:pStyle w:val="Prrafodelista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C33FBF" w:rsidRPr="00AB4573" w:rsidRDefault="003C6B02" w:rsidP="00C33FBF">
      <w:pPr>
        <w:rPr>
          <w:rFonts w:ascii="Times New Roman" w:hAnsi="Times New Roman" w:cs="Times New Roman"/>
          <w:sz w:val="24"/>
          <w:szCs w:val="24"/>
        </w:rPr>
      </w:pPr>
      <w:r w:rsidRPr="00D92229">
        <w:rPr>
          <w:rFonts w:ascii="Times New Roman" w:hAnsi="Times New Roman" w:cs="Times New Roman"/>
          <w:b/>
          <w:sz w:val="24"/>
          <w:szCs w:val="24"/>
        </w:rPr>
        <w:t>El Manual de Gestión Integral de Riesgo y Las Políticas de Gestión Integral de Riesgo “fueron aprobadas por el honorable Consejo Directivo, mediante Resolución No. 129, sesión CD 44/2015</w:t>
      </w:r>
      <w:r w:rsidR="00D92229">
        <w:rPr>
          <w:rFonts w:ascii="Times New Roman" w:hAnsi="Times New Roman" w:cs="Times New Roman"/>
          <w:b/>
          <w:sz w:val="24"/>
          <w:szCs w:val="24"/>
        </w:rPr>
        <w:t>,</w:t>
      </w:r>
      <w:r w:rsidRPr="00D92229">
        <w:rPr>
          <w:rFonts w:ascii="Times New Roman" w:hAnsi="Times New Roman" w:cs="Times New Roman"/>
          <w:b/>
          <w:sz w:val="24"/>
          <w:szCs w:val="24"/>
        </w:rPr>
        <w:t xml:space="preserve"> de fecha 15 de Diciembre de 2015.</w:t>
      </w:r>
      <w:r w:rsidR="00C33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E2E" w:rsidRDefault="00DF3E2E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p w:rsidR="008B28B1" w:rsidRPr="00AB4573" w:rsidRDefault="008B28B1" w:rsidP="00755BE0">
      <w:pPr>
        <w:rPr>
          <w:rFonts w:ascii="Times New Roman" w:hAnsi="Times New Roman" w:cs="Times New Roman"/>
          <w:sz w:val="24"/>
          <w:szCs w:val="24"/>
        </w:rPr>
      </w:pPr>
    </w:p>
    <w:sectPr w:rsidR="008B28B1" w:rsidRPr="00AB4573" w:rsidSect="00303A57">
      <w:headerReference w:type="default" r:id="rId10"/>
      <w:footerReference w:type="default" r:id="rId11"/>
      <w:headerReference w:type="first" r:id="rId12"/>
      <w:pgSz w:w="12240" w:h="15840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18" w:rsidRDefault="00EB0C18" w:rsidP="00C1537C">
      <w:pPr>
        <w:spacing w:after="0" w:line="240" w:lineRule="auto"/>
      </w:pPr>
      <w:r>
        <w:separator/>
      </w:r>
    </w:p>
  </w:endnote>
  <w:endnote w:type="continuationSeparator" w:id="0">
    <w:p w:rsidR="00EB0C18" w:rsidRDefault="00EB0C18" w:rsidP="00C1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7" w:rsidRDefault="00760DE7" w:rsidP="00760DE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18" w:rsidRDefault="00EB0C18" w:rsidP="00C1537C">
      <w:pPr>
        <w:spacing w:after="0" w:line="240" w:lineRule="auto"/>
      </w:pPr>
      <w:r>
        <w:separator/>
      </w:r>
    </w:p>
  </w:footnote>
  <w:footnote w:type="continuationSeparator" w:id="0">
    <w:p w:rsidR="00EB0C18" w:rsidRDefault="00EB0C18" w:rsidP="00C1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7" w:rsidRPr="0095747C" w:rsidRDefault="00786A14" w:rsidP="00760DE7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805AA" wp14:editId="5E7E3408">
              <wp:simplePos x="0" y="0"/>
              <wp:positionH relativeFrom="column">
                <wp:posOffset>-500381</wp:posOffset>
              </wp:positionH>
              <wp:positionV relativeFrom="paragraph">
                <wp:posOffset>-183515</wp:posOffset>
              </wp:positionV>
              <wp:extent cx="1522540" cy="590550"/>
              <wp:effectExtent l="57150" t="19050" r="78105" b="9525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522540" cy="5905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0DE7" w:rsidRPr="00786A14" w:rsidRDefault="00760DE7" w:rsidP="00C153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Unidad </w:t>
                          </w:r>
                          <w:r w:rsidR="00786A14"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de</w:t>
                          </w:r>
                          <w:r w:rsidR="00786A14"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       </w:t>
                          </w:r>
                          <w:r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Cumplimiento</w:t>
                          </w:r>
                          <w:r w:rsidR="00786A14"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  </w:t>
                          </w:r>
                          <w:r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 y</w:t>
                          </w:r>
                          <w:r w:rsidR="00786A14"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   </w:t>
                          </w:r>
                          <w:r w:rsidRPr="00786A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 xml:space="preserve"> Riesgo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32" style="position:absolute;left:0;text-align:left;margin-left:-39.4pt;margin-top:-14.45pt;width:119.9pt;height:4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ZjlAIAAHoFAAAOAAAAZHJzL2Uyb0RvYy54bWysVN1O2zAUvp+0d7B8P9JmZBsRKapA3SZV&#10;gICJa9exW2uOj2e7Tbq34Vn2Yjt20sAYEtK0XFg+Od/5/3xOz7pGk51wXoGp6PRoQokwHGpl1hX9&#10;drd494kSH5ipmQYjKroXnp7N3r45bW0pctiAroUj6MT4srUV3YRgyyzzfCMa5o/ACoNKCa5hAUW3&#10;zmrHWvTe6CyfTD5kLbjaOuDCe/x70SvpLPmXUvBwJaUXgeiKYm4hnS6dq3hms1NWrh2zG8WHNNg/&#10;ZNEwZTDo6OqCBUa2Tv3lqlHcgQcZjjg0GUipuEg1YDXTybNqbjfMilQLNsfbsU3+/7nll7trR1Rd&#10;0ZwSwxocUU5usG2/Hsx6qyE2qLW+RNytvXaxRG+XwL97VGR/aKLgB0wnXUOkVvYLkiI1BkslXer7&#10;fuy76ALh+HNa5HlxjOPhqCtOJkWRBpOxMvqJMa3z4bOAhsRLRR0mmLyy3dKHmMkjJKUIWtULpXUS&#10;3Hp1rh3ZMeTAYjHBL1aFJv4Rlkrps091hL0W0VibGyGxPzHLFDExU4z+GOfChGJwmNDRTGLs0fD9&#10;64YDPpqKxNrROH/deLRIkcGE0bhRBtxLDnSYDinLHj8M0/d1xxaEbtUNw19BvUeWOOifj7d8oXAO&#10;S+bDNXP4XnB0uAPCFR5SQ1tRGG6UbMD9fOl/xCONUUtJi++vov7HljlBif5qkOAn0+PIiJCE4+Jj&#10;joJ7qlk91Zhtcw443iluG8vTNeKDPlylg+YeV8U8RkUVMxxjV5QHdxDOQ78XcNlwMZ8nGD5Sy8LS&#10;3Fp+IEBk4F13z5wdyBiQxpdweKusfMbJHhtHY2C+DSBVImxscd/XofX4wBMph2UUN8hTOaEeV+bs&#10;NwAAAP//AwBQSwMEFAAGAAgAAAAhAMOQxPrhAAAACgEAAA8AAABkcnMvZG93bnJldi54bWxMj8FO&#10;wzAQRO9I/IO1SFyq1klVpSHEqRBS4dILpUUcXWdJAvE6ip00/D3bU7nNakazb/LNZFsxYu8bRwri&#10;RQQCybiyoUrB4X07T0H4oKnUrSNU8IseNsXtTa6z0p3pDcd9qASXkM+0gjqELpPSmxqt9gvXIbH3&#10;5XqrA599Jcten7nctnIZRYm0uiH+UOsOn2s0P/vBKrCz48shGcxqnH2vPz+2u91rczRK3d9NT48g&#10;Ak7hGoYLPqNDwUwnN1DpRatgvk4ZPbBYpg8gLokk5nUnBckqBlnk8v+E4g8AAP//AwBQSwECLQAU&#10;AAYACAAAACEAtoM4kv4AAADhAQAAEwAAAAAAAAAAAAAAAAAAAAAAW0NvbnRlbnRfVHlwZXNdLnht&#10;bFBLAQItABQABgAIAAAAIQA4/SH/1gAAAJQBAAALAAAAAAAAAAAAAAAAAC8BAABfcmVscy8ucmVs&#10;c1BLAQItABQABgAIAAAAIQC/3HZjlAIAAHoFAAAOAAAAAAAAAAAAAAAAAC4CAABkcnMvZTJvRG9j&#10;LnhtbFBLAQItABQABgAIAAAAIQDDkMT64QAAAAoBAAAPAAAAAAAAAAAAAAAAAO4EAABkcnMvZG93&#10;bnJldi54bWxQSwUGAAAAAAQABADzAAAA/AUAAAAA&#10;" fillcolor="red" strokecolor="#40a7c2 [3048]">
              <v:shadow on="t" color="black" opacity="22937f" origin=",.5" offset="0,.63889mm"/>
              <v:path arrowok="t"/>
              <v:textbox>
                <w:txbxContent>
                  <w:p w:rsidR="00760DE7" w:rsidRPr="00786A14" w:rsidRDefault="00760DE7" w:rsidP="00C1537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Unidad </w:t>
                    </w:r>
                    <w:r w:rsidR="00786A14"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de</w:t>
                    </w:r>
                    <w:r w:rsidR="00786A14"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       </w:t>
                    </w:r>
                    <w:r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Cumplimiento</w:t>
                    </w:r>
                    <w:r w:rsidR="00786A14"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  </w:t>
                    </w:r>
                    <w:r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 y</w:t>
                    </w:r>
                    <w:r w:rsidR="00786A14"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   </w:t>
                    </w:r>
                    <w:r w:rsidRPr="00786A1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 xml:space="preserve"> Riesgo</w:t>
                    </w:r>
                  </w:p>
                </w:txbxContent>
              </v:textbox>
            </v:rect>
          </w:pict>
        </mc:Fallback>
      </mc:AlternateContent>
    </w:r>
    <w:r w:rsidR="00760DE7" w:rsidRPr="0095747C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9EF8B0" wp14:editId="2FB7535A">
          <wp:simplePos x="0" y="0"/>
          <wp:positionH relativeFrom="column">
            <wp:posOffset>5463540</wp:posOffset>
          </wp:positionH>
          <wp:positionV relativeFrom="paragraph">
            <wp:posOffset>-182880</wp:posOffset>
          </wp:positionV>
          <wp:extent cx="714375" cy="528955"/>
          <wp:effectExtent l="0" t="0" r="0" b="0"/>
          <wp:wrapNone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60DE7" w:rsidRPr="0095747C">
      <w:rPr>
        <w:rFonts w:ascii="Times New Roman" w:hAnsi="Times New Roman" w:cs="Times New Roman"/>
        <w:b/>
        <w:sz w:val="28"/>
        <w:szCs w:val="28"/>
      </w:rPr>
      <w:t>Instituto de Previsión Social de la Fuerza Armada</w:t>
    </w:r>
  </w:p>
  <w:p w:rsidR="00760DE7" w:rsidRPr="00786A14" w:rsidRDefault="00760DE7" w:rsidP="00760DE7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786A14">
      <w:rPr>
        <w:rFonts w:ascii="Times New Roman" w:hAnsi="Times New Roman" w:cs="Times New Roman"/>
        <w:b/>
        <w:sz w:val="20"/>
        <w:szCs w:val="20"/>
      </w:rPr>
      <w:t>Resumen Ejecutivo de la Gestión Integral de Riesgos</w:t>
    </w:r>
    <w:r w:rsidR="00786A14" w:rsidRPr="00786A14">
      <w:rPr>
        <w:rFonts w:ascii="Times New Roman" w:hAnsi="Times New Roman" w:cs="Times New Roman"/>
        <w:b/>
        <w:sz w:val="20"/>
        <w:szCs w:val="20"/>
      </w:rPr>
      <w:t xml:space="preserve"> del 2017</w:t>
    </w:r>
  </w:p>
  <w:p w:rsidR="00760DE7" w:rsidRDefault="00EB0C18" w:rsidP="00760DE7">
    <w:pPr>
      <w:spacing w:after="0"/>
      <w:jc w:val="center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7" w:rsidRPr="00E71A15" w:rsidRDefault="00760DE7" w:rsidP="00760DE7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7056E40" wp14:editId="16635CD4">
          <wp:simplePos x="0" y="0"/>
          <wp:positionH relativeFrom="column">
            <wp:posOffset>4886634</wp:posOffset>
          </wp:positionH>
          <wp:positionV relativeFrom="paragraph">
            <wp:posOffset>19341</wp:posOffset>
          </wp:positionV>
          <wp:extent cx="615264" cy="370703"/>
          <wp:effectExtent l="19050" t="0" r="0" b="0"/>
          <wp:wrapNone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618" t="30702" r="18072"/>
                  <a:stretch>
                    <a:fillRect/>
                  </a:stretch>
                </pic:blipFill>
                <pic:spPr bwMode="auto">
                  <a:xfrm>
                    <a:off x="0" y="0"/>
                    <a:ext cx="615264" cy="370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CECE0BE" wp14:editId="2676CDEA">
          <wp:simplePos x="0" y="0"/>
          <wp:positionH relativeFrom="column">
            <wp:posOffset>26366</wp:posOffset>
          </wp:positionH>
          <wp:positionV relativeFrom="paragraph">
            <wp:posOffset>-57694</wp:posOffset>
          </wp:positionV>
          <wp:extent cx="583986" cy="445145"/>
          <wp:effectExtent l="19050" t="0" r="6564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9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A15">
      <w:rPr>
        <w:rFonts w:ascii="Times New Roman" w:hAnsi="Times New Roman" w:cs="Times New Roman"/>
        <w:sz w:val="16"/>
        <w:szCs w:val="16"/>
      </w:rPr>
      <w:t>Informe de Gestión de Riesgos</w:t>
    </w:r>
  </w:p>
  <w:p w:rsidR="00760DE7" w:rsidRPr="00E71A15" w:rsidRDefault="00760DE7" w:rsidP="00760DE7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71A15">
      <w:rPr>
        <w:rFonts w:ascii="Times New Roman" w:hAnsi="Times New Roman" w:cs="Times New Roman"/>
        <w:sz w:val="16"/>
        <w:szCs w:val="16"/>
      </w:rPr>
      <w:t>Al 3</w:t>
    </w:r>
    <w:r>
      <w:rPr>
        <w:rFonts w:ascii="Times New Roman" w:hAnsi="Times New Roman" w:cs="Times New Roman"/>
        <w:sz w:val="16"/>
        <w:szCs w:val="16"/>
      </w:rPr>
      <w:t xml:space="preserve">1 de enero </w:t>
    </w:r>
    <w:r w:rsidRPr="00E71A15">
      <w:rPr>
        <w:rFonts w:ascii="Times New Roman" w:hAnsi="Times New Roman" w:cs="Times New Roman"/>
        <w:sz w:val="16"/>
        <w:szCs w:val="16"/>
      </w:rPr>
      <w:t>de 201</w:t>
    </w:r>
    <w:r>
      <w:rPr>
        <w:rFonts w:ascii="Times New Roman" w:hAnsi="Times New Roman" w:cs="Times New Roman"/>
        <w:sz w:val="16"/>
        <w:szCs w:val="16"/>
      </w:rPr>
      <w:t>3</w:t>
    </w:r>
  </w:p>
  <w:p w:rsidR="00760DE7" w:rsidRPr="00E71A15" w:rsidRDefault="00760DE7" w:rsidP="00760DE7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E71A15">
      <w:rPr>
        <w:rFonts w:ascii="Times New Roman" w:hAnsi="Times New Roman" w:cs="Times New Roman"/>
        <w:sz w:val="16"/>
        <w:szCs w:val="16"/>
      </w:rPr>
      <w:t>Instituto de Previsión Social de la Fuerza Armada</w:t>
    </w:r>
  </w:p>
  <w:p w:rsidR="00760DE7" w:rsidRPr="00E71A15" w:rsidRDefault="00760DE7" w:rsidP="00760DE7">
    <w:pPr>
      <w:pStyle w:val="Encabezado"/>
    </w:pPr>
    <w:r>
      <w:rPr>
        <w:rFonts w:ascii="Times New Roman" w:hAnsi="Times New Roman" w:cs="Times New Roman"/>
        <w:noProof/>
        <w:sz w:val="16"/>
        <w:szCs w:val="16"/>
        <w:u w:val="singl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6C64B45" wp14:editId="704277EC">
              <wp:simplePos x="0" y="0"/>
              <wp:positionH relativeFrom="column">
                <wp:posOffset>-34290</wp:posOffset>
              </wp:positionH>
              <wp:positionV relativeFrom="paragraph">
                <wp:posOffset>40004</wp:posOffset>
              </wp:positionV>
              <wp:extent cx="5511165" cy="0"/>
              <wp:effectExtent l="0" t="0" r="1333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1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pt;margin-top:3.15pt;width:433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5tHwIAADsEAAAOAAAAZHJzL2Uyb0RvYy54bWysU82O0zAQviPxDpbv3SQlKW3UdLVKWi4L&#10;VNrlAVzbSSwc27LdphXi3Rm7P1C4IEQOztgz883MNzPLx+Mg0YFbJ7SqcPaQYsQV1UyorsJfXjeT&#10;OUbOE8WI1IpX+MQdfly9fbMcTcmnuteScYsARLlyNBXuvTdlkjja84G4B224AmWr7UA8XG2XMEtG&#10;QB9kMk3TWTJqy4zVlDsHr81ZiVcRv2059Z/b1nGPZIUhNx9PG89dOJPVkpSdJaYX9JIG+YcsBiIU&#10;BL1BNcQTtLfiD6hBUKudbv0D1UOi21ZQHmuAarL0t2peemJ4rAXIceZGk/t/sPTTYWuRYBVeYKTI&#10;AC162nsdI6Ms0DMaV4JVrbY2FEiP6sU8a/rVIaXrnqiOR+PXkwHf6JHcuYSLMxBkN37UDGwI4Eeu&#10;jq0dAiSwgI6xJadbS/jRIwqPRZFl2azAiF51CSmvjsY6/4HrAQWhws5bIrre11opaLy2WQxDDs/O&#10;QyHgeHUIUZXeCClj/6VCIxBQTIvo4LQULCiDmbPdrpYWHUiYoPgFVgDszszqvWIRrOeErS+yJ0Ke&#10;ZbCXKuBBYZDORTqPyLdFuljP1/N8kk9n60meNs3kaVPnk9kme18075q6brLvIbUsL3vBGFchu+u4&#10;ZvnfjcNlcc6DdhvYGw3JPXosEZK9/mPSsbOhmeex2Gl22trARmgyTGg0vmxTWIFf79Hq586vfgAA&#10;AP//AwBQSwMEFAAGAAgAAAAhACuJMQTbAAAABgEAAA8AAABkcnMvZG93bnJldi54bWxMjk1PwzAQ&#10;RO9I/AdrK3FBrdNAohKyqSokDhz7IXF14yUJjddR7DShvx6XSzmOZvTm5evJtOJMvWssIywXEQji&#10;0uqGK4TD/n2+AuG8Yq1ay4TwQw7Wxf1drjJtR97SeecrESDsMoVQe99lUrqyJqPcwnbEofuyvVE+&#10;xL6SuldjgJtWxlGUSqMaDg+16uitpvK0GwwCuSFZRpsXUx0+LuPjZ3z5Hrs94sNs2ryC8DT52xiu&#10;+kEdiuB0tANrJ1qEefIclgjpE4hQr9I4AXH8y7LI5X/94hcAAP//AwBQSwECLQAUAAYACAAAACEA&#10;toM4kv4AAADhAQAAEwAAAAAAAAAAAAAAAAAAAAAAW0NvbnRlbnRfVHlwZXNdLnhtbFBLAQItABQA&#10;BgAIAAAAIQA4/SH/1gAAAJQBAAALAAAAAAAAAAAAAAAAAC8BAABfcmVscy8ucmVsc1BLAQItABQA&#10;BgAIAAAAIQAJbm5tHwIAADsEAAAOAAAAAAAAAAAAAAAAAC4CAABkcnMvZTJvRG9jLnhtbFBLAQIt&#10;ABQABgAIAAAAIQAriTEE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D7F"/>
    <w:multiLevelType w:val="hybridMultilevel"/>
    <w:tmpl w:val="906605BE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D54A0"/>
    <w:multiLevelType w:val="multilevel"/>
    <w:tmpl w:val="416C1C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E64EAB"/>
    <w:multiLevelType w:val="multilevel"/>
    <w:tmpl w:val="881C3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FB4965"/>
    <w:multiLevelType w:val="hybridMultilevel"/>
    <w:tmpl w:val="DB804BDE"/>
    <w:lvl w:ilvl="0" w:tplc="0DC241FE">
      <w:start w:val="1"/>
      <w:numFmt w:val="upperLetter"/>
      <w:pStyle w:val="Ttulo1"/>
      <w:lvlText w:val="%1."/>
      <w:lvlJc w:val="left"/>
      <w:pPr>
        <w:ind w:left="2486" w:hanging="360"/>
      </w:pPr>
    </w:lvl>
    <w:lvl w:ilvl="1" w:tplc="440A0019" w:tentative="1">
      <w:start w:val="1"/>
      <w:numFmt w:val="lowerLetter"/>
      <w:lvlText w:val="%2."/>
      <w:lvlJc w:val="left"/>
      <w:pPr>
        <w:ind w:left="3206" w:hanging="360"/>
      </w:pPr>
    </w:lvl>
    <w:lvl w:ilvl="2" w:tplc="440A001B" w:tentative="1">
      <w:start w:val="1"/>
      <w:numFmt w:val="lowerRoman"/>
      <w:lvlText w:val="%3."/>
      <w:lvlJc w:val="right"/>
      <w:pPr>
        <w:ind w:left="3926" w:hanging="180"/>
      </w:pPr>
    </w:lvl>
    <w:lvl w:ilvl="3" w:tplc="440A000F" w:tentative="1">
      <w:start w:val="1"/>
      <w:numFmt w:val="decimal"/>
      <w:lvlText w:val="%4."/>
      <w:lvlJc w:val="left"/>
      <w:pPr>
        <w:ind w:left="4646" w:hanging="360"/>
      </w:pPr>
    </w:lvl>
    <w:lvl w:ilvl="4" w:tplc="440A0019" w:tentative="1">
      <w:start w:val="1"/>
      <w:numFmt w:val="lowerLetter"/>
      <w:lvlText w:val="%5."/>
      <w:lvlJc w:val="left"/>
      <w:pPr>
        <w:ind w:left="5366" w:hanging="360"/>
      </w:pPr>
    </w:lvl>
    <w:lvl w:ilvl="5" w:tplc="440A001B" w:tentative="1">
      <w:start w:val="1"/>
      <w:numFmt w:val="lowerRoman"/>
      <w:lvlText w:val="%6."/>
      <w:lvlJc w:val="right"/>
      <w:pPr>
        <w:ind w:left="6086" w:hanging="180"/>
      </w:pPr>
    </w:lvl>
    <w:lvl w:ilvl="6" w:tplc="440A000F" w:tentative="1">
      <w:start w:val="1"/>
      <w:numFmt w:val="decimal"/>
      <w:lvlText w:val="%7."/>
      <w:lvlJc w:val="left"/>
      <w:pPr>
        <w:ind w:left="6806" w:hanging="360"/>
      </w:pPr>
    </w:lvl>
    <w:lvl w:ilvl="7" w:tplc="440A0019" w:tentative="1">
      <w:start w:val="1"/>
      <w:numFmt w:val="lowerLetter"/>
      <w:lvlText w:val="%8."/>
      <w:lvlJc w:val="left"/>
      <w:pPr>
        <w:ind w:left="7526" w:hanging="360"/>
      </w:pPr>
    </w:lvl>
    <w:lvl w:ilvl="8" w:tplc="44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0EB142D8"/>
    <w:multiLevelType w:val="multilevel"/>
    <w:tmpl w:val="38CAF1D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F45BD9"/>
    <w:multiLevelType w:val="hybridMultilevel"/>
    <w:tmpl w:val="DF960346"/>
    <w:lvl w:ilvl="0" w:tplc="07F0FFB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517C"/>
    <w:multiLevelType w:val="multilevel"/>
    <w:tmpl w:val="B184BB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647245E"/>
    <w:multiLevelType w:val="hybridMultilevel"/>
    <w:tmpl w:val="D53C02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25974"/>
    <w:multiLevelType w:val="hybridMultilevel"/>
    <w:tmpl w:val="5B44CC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07D8"/>
    <w:multiLevelType w:val="multilevel"/>
    <w:tmpl w:val="3D28BB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4EC92EF2"/>
    <w:multiLevelType w:val="hybridMultilevel"/>
    <w:tmpl w:val="504852A4"/>
    <w:lvl w:ilvl="0" w:tplc="F1D661A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344B1A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1D28BD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BDCA8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0E7D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B3D49"/>
    <w:multiLevelType w:val="hybridMultilevel"/>
    <w:tmpl w:val="9314CF18"/>
    <w:lvl w:ilvl="0" w:tplc="F7F4FE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F46C7"/>
    <w:multiLevelType w:val="hybridMultilevel"/>
    <w:tmpl w:val="3350EC0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E2C86"/>
    <w:multiLevelType w:val="hybridMultilevel"/>
    <w:tmpl w:val="7BE6C1A6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83B42"/>
    <w:multiLevelType w:val="hybridMultilevel"/>
    <w:tmpl w:val="69F082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F6C1F"/>
    <w:multiLevelType w:val="hybridMultilevel"/>
    <w:tmpl w:val="F142095E"/>
    <w:lvl w:ilvl="0" w:tplc="D7AED0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D6551"/>
    <w:multiLevelType w:val="hybridMultilevel"/>
    <w:tmpl w:val="E88CDF5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18AE"/>
    <w:multiLevelType w:val="multilevel"/>
    <w:tmpl w:val="1BB41D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471CCB"/>
    <w:multiLevelType w:val="hybridMultilevel"/>
    <w:tmpl w:val="F6DCD8C2"/>
    <w:lvl w:ilvl="0" w:tplc="518A94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7C"/>
    <w:rsid w:val="00000A5A"/>
    <w:rsid w:val="00003558"/>
    <w:rsid w:val="00005CF7"/>
    <w:rsid w:val="000174F9"/>
    <w:rsid w:val="0002093B"/>
    <w:rsid w:val="000313FC"/>
    <w:rsid w:val="000320FB"/>
    <w:rsid w:val="00033337"/>
    <w:rsid w:val="000448EE"/>
    <w:rsid w:val="0006388D"/>
    <w:rsid w:val="00064ABA"/>
    <w:rsid w:val="0006567E"/>
    <w:rsid w:val="00066617"/>
    <w:rsid w:val="00077514"/>
    <w:rsid w:val="0009700E"/>
    <w:rsid w:val="000A2817"/>
    <w:rsid w:val="000B6865"/>
    <w:rsid w:val="000C1E2F"/>
    <w:rsid w:val="000C292B"/>
    <w:rsid w:val="000D4AA5"/>
    <w:rsid w:val="000D5749"/>
    <w:rsid w:val="000D7F86"/>
    <w:rsid w:val="000E33D3"/>
    <w:rsid w:val="000E4B8A"/>
    <w:rsid w:val="000E5503"/>
    <w:rsid w:val="00102BA5"/>
    <w:rsid w:val="001108F4"/>
    <w:rsid w:val="00111E2B"/>
    <w:rsid w:val="001253F6"/>
    <w:rsid w:val="001256C4"/>
    <w:rsid w:val="001416D7"/>
    <w:rsid w:val="00154C37"/>
    <w:rsid w:val="0017207B"/>
    <w:rsid w:val="001728C9"/>
    <w:rsid w:val="00183766"/>
    <w:rsid w:val="001879D9"/>
    <w:rsid w:val="00190FD9"/>
    <w:rsid w:val="001A6C01"/>
    <w:rsid w:val="001A763F"/>
    <w:rsid w:val="001B0FF6"/>
    <w:rsid w:val="001B764E"/>
    <w:rsid w:val="001C75C2"/>
    <w:rsid w:val="001D4C81"/>
    <w:rsid w:val="001E6878"/>
    <w:rsid w:val="001E6B4C"/>
    <w:rsid w:val="0020064A"/>
    <w:rsid w:val="00200E7E"/>
    <w:rsid w:val="002118F1"/>
    <w:rsid w:val="002137B8"/>
    <w:rsid w:val="00217685"/>
    <w:rsid w:val="00223B70"/>
    <w:rsid w:val="00233B7A"/>
    <w:rsid w:val="002619CF"/>
    <w:rsid w:val="00265DCD"/>
    <w:rsid w:val="00282264"/>
    <w:rsid w:val="0028481E"/>
    <w:rsid w:val="002A5519"/>
    <w:rsid w:val="002C260D"/>
    <w:rsid w:val="002D15FB"/>
    <w:rsid w:val="002D74A8"/>
    <w:rsid w:val="003001DB"/>
    <w:rsid w:val="00303A57"/>
    <w:rsid w:val="0030520A"/>
    <w:rsid w:val="003117BA"/>
    <w:rsid w:val="00320361"/>
    <w:rsid w:val="003505E9"/>
    <w:rsid w:val="00375217"/>
    <w:rsid w:val="00385199"/>
    <w:rsid w:val="00386E36"/>
    <w:rsid w:val="003948BC"/>
    <w:rsid w:val="00397089"/>
    <w:rsid w:val="00397AD1"/>
    <w:rsid w:val="003A5A03"/>
    <w:rsid w:val="003B03EA"/>
    <w:rsid w:val="003B128D"/>
    <w:rsid w:val="003C6B02"/>
    <w:rsid w:val="003C7900"/>
    <w:rsid w:val="003D42CB"/>
    <w:rsid w:val="003F3D37"/>
    <w:rsid w:val="00405A9D"/>
    <w:rsid w:val="0041099A"/>
    <w:rsid w:val="004110FF"/>
    <w:rsid w:val="004148F7"/>
    <w:rsid w:val="00421C85"/>
    <w:rsid w:val="00434474"/>
    <w:rsid w:val="00443809"/>
    <w:rsid w:val="004461A3"/>
    <w:rsid w:val="004578EC"/>
    <w:rsid w:val="004A027E"/>
    <w:rsid w:val="004A7B2E"/>
    <w:rsid w:val="004B0B5D"/>
    <w:rsid w:val="004B1309"/>
    <w:rsid w:val="004B1D83"/>
    <w:rsid w:val="004C4A38"/>
    <w:rsid w:val="004D1AA0"/>
    <w:rsid w:val="004D2F29"/>
    <w:rsid w:val="004D5B2B"/>
    <w:rsid w:val="004F22FA"/>
    <w:rsid w:val="00501238"/>
    <w:rsid w:val="00506A16"/>
    <w:rsid w:val="005227E6"/>
    <w:rsid w:val="00524C07"/>
    <w:rsid w:val="005258A0"/>
    <w:rsid w:val="00553A44"/>
    <w:rsid w:val="00560645"/>
    <w:rsid w:val="00565F82"/>
    <w:rsid w:val="00580C1E"/>
    <w:rsid w:val="00586B54"/>
    <w:rsid w:val="005B62C6"/>
    <w:rsid w:val="005B7429"/>
    <w:rsid w:val="005D5616"/>
    <w:rsid w:val="005F1243"/>
    <w:rsid w:val="00603788"/>
    <w:rsid w:val="006117E6"/>
    <w:rsid w:val="00632131"/>
    <w:rsid w:val="006752F8"/>
    <w:rsid w:val="00691C42"/>
    <w:rsid w:val="006955E9"/>
    <w:rsid w:val="006B5827"/>
    <w:rsid w:val="006B5E7E"/>
    <w:rsid w:val="006B7DFE"/>
    <w:rsid w:val="006C3A51"/>
    <w:rsid w:val="006E1E02"/>
    <w:rsid w:val="006E20A6"/>
    <w:rsid w:val="006F0908"/>
    <w:rsid w:val="006F327B"/>
    <w:rsid w:val="006F4486"/>
    <w:rsid w:val="00710518"/>
    <w:rsid w:val="00711B13"/>
    <w:rsid w:val="00712EA5"/>
    <w:rsid w:val="00713F98"/>
    <w:rsid w:val="007147B5"/>
    <w:rsid w:val="00721996"/>
    <w:rsid w:val="007225D5"/>
    <w:rsid w:val="00725EBD"/>
    <w:rsid w:val="00755BE0"/>
    <w:rsid w:val="00760DE7"/>
    <w:rsid w:val="00771755"/>
    <w:rsid w:val="00775D37"/>
    <w:rsid w:val="00786A14"/>
    <w:rsid w:val="00790A32"/>
    <w:rsid w:val="0079565D"/>
    <w:rsid w:val="007C1B4D"/>
    <w:rsid w:val="007D72F3"/>
    <w:rsid w:val="007E4071"/>
    <w:rsid w:val="007F087B"/>
    <w:rsid w:val="007F699B"/>
    <w:rsid w:val="007F727F"/>
    <w:rsid w:val="00821D06"/>
    <w:rsid w:val="008229D5"/>
    <w:rsid w:val="008405EE"/>
    <w:rsid w:val="008552FD"/>
    <w:rsid w:val="00856BA3"/>
    <w:rsid w:val="00870BC7"/>
    <w:rsid w:val="008749FE"/>
    <w:rsid w:val="00886805"/>
    <w:rsid w:val="00890344"/>
    <w:rsid w:val="008A26C8"/>
    <w:rsid w:val="008B28B1"/>
    <w:rsid w:val="008C5028"/>
    <w:rsid w:val="008E2AB2"/>
    <w:rsid w:val="008E369A"/>
    <w:rsid w:val="008F6BD0"/>
    <w:rsid w:val="00902A94"/>
    <w:rsid w:val="00903647"/>
    <w:rsid w:val="00920EC8"/>
    <w:rsid w:val="009307AF"/>
    <w:rsid w:val="009365FD"/>
    <w:rsid w:val="00936C6A"/>
    <w:rsid w:val="00944CB5"/>
    <w:rsid w:val="0094605E"/>
    <w:rsid w:val="0095733D"/>
    <w:rsid w:val="0095747C"/>
    <w:rsid w:val="009754A6"/>
    <w:rsid w:val="009805A9"/>
    <w:rsid w:val="00982372"/>
    <w:rsid w:val="00996D54"/>
    <w:rsid w:val="009A7B19"/>
    <w:rsid w:val="009A7CC4"/>
    <w:rsid w:val="009B1F4D"/>
    <w:rsid w:val="009B246D"/>
    <w:rsid w:val="009B6580"/>
    <w:rsid w:val="009B7A1A"/>
    <w:rsid w:val="009C4B46"/>
    <w:rsid w:val="009D03CD"/>
    <w:rsid w:val="009E047C"/>
    <w:rsid w:val="009F5875"/>
    <w:rsid w:val="00A1571F"/>
    <w:rsid w:val="00A305B6"/>
    <w:rsid w:val="00A3589B"/>
    <w:rsid w:val="00A4600D"/>
    <w:rsid w:val="00A57421"/>
    <w:rsid w:val="00A6611C"/>
    <w:rsid w:val="00A811C0"/>
    <w:rsid w:val="00A84E2F"/>
    <w:rsid w:val="00A85834"/>
    <w:rsid w:val="00A91BC6"/>
    <w:rsid w:val="00A94A4B"/>
    <w:rsid w:val="00AA0042"/>
    <w:rsid w:val="00AB4573"/>
    <w:rsid w:val="00AD1DA8"/>
    <w:rsid w:val="00AE0E55"/>
    <w:rsid w:val="00AF1075"/>
    <w:rsid w:val="00AF4C01"/>
    <w:rsid w:val="00AF7E71"/>
    <w:rsid w:val="00B01114"/>
    <w:rsid w:val="00B31F27"/>
    <w:rsid w:val="00B33CFB"/>
    <w:rsid w:val="00B41613"/>
    <w:rsid w:val="00B42C50"/>
    <w:rsid w:val="00B53214"/>
    <w:rsid w:val="00B64480"/>
    <w:rsid w:val="00B71A2C"/>
    <w:rsid w:val="00B81964"/>
    <w:rsid w:val="00B86A3C"/>
    <w:rsid w:val="00B91CF6"/>
    <w:rsid w:val="00BA5436"/>
    <w:rsid w:val="00BC020B"/>
    <w:rsid w:val="00BC43E8"/>
    <w:rsid w:val="00BD0B1C"/>
    <w:rsid w:val="00BD55E1"/>
    <w:rsid w:val="00BF41B1"/>
    <w:rsid w:val="00BF6B7E"/>
    <w:rsid w:val="00C008CB"/>
    <w:rsid w:val="00C05556"/>
    <w:rsid w:val="00C1537C"/>
    <w:rsid w:val="00C22389"/>
    <w:rsid w:val="00C23828"/>
    <w:rsid w:val="00C26509"/>
    <w:rsid w:val="00C31C0D"/>
    <w:rsid w:val="00C33FBF"/>
    <w:rsid w:val="00C4005F"/>
    <w:rsid w:val="00C56B23"/>
    <w:rsid w:val="00C63438"/>
    <w:rsid w:val="00C64425"/>
    <w:rsid w:val="00C7638D"/>
    <w:rsid w:val="00C7744B"/>
    <w:rsid w:val="00C93CEC"/>
    <w:rsid w:val="00CC6F8B"/>
    <w:rsid w:val="00CE514F"/>
    <w:rsid w:val="00D14FD0"/>
    <w:rsid w:val="00D37B07"/>
    <w:rsid w:val="00D40961"/>
    <w:rsid w:val="00D42237"/>
    <w:rsid w:val="00D449E2"/>
    <w:rsid w:val="00D525DF"/>
    <w:rsid w:val="00D738FD"/>
    <w:rsid w:val="00D92229"/>
    <w:rsid w:val="00D9438F"/>
    <w:rsid w:val="00D95994"/>
    <w:rsid w:val="00D96BE8"/>
    <w:rsid w:val="00D97EC7"/>
    <w:rsid w:val="00DA4680"/>
    <w:rsid w:val="00DA53E7"/>
    <w:rsid w:val="00DC48BC"/>
    <w:rsid w:val="00DD7DB8"/>
    <w:rsid w:val="00DE5AC5"/>
    <w:rsid w:val="00DE6AD6"/>
    <w:rsid w:val="00DE6DE8"/>
    <w:rsid w:val="00DE7D29"/>
    <w:rsid w:val="00DF3E2E"/>
    <w:rsid w:val="00DF7AC9"/>
    <w:rsid w:val="00E14540"/>
    <w:rsid w:val="00E22302"/>
    <w:rsid w:val="00E24FCC"/>
    <w:rsid w:val="00E31180"/>
    <w:rsid w:val="00E73663"/>
    <w:rsid w:val="00E73D47"/>
    <w:rsid w:val="00E7715B"/>
    <w:rsid w:val="00E820FB"/>
    <w:rsid w:val="00E82F79"/>
    <w:rsid w:val="00E96514"/>
    <w:rsid w:val="00EA0475"/>
    <w:rsid w:val="00EA25B5"/>
    <w:rsid w:val="00EB0C18"/>
    <w:rsid w:val="00EB3E6D"/>
    <w:rsid w:val="00EB4255"/>
    <w:rsid w:val="00EC095C"/>
    <w:rsid w:val="00EC5442"/>
    <w:rsid w:val="00ED6C4B"/>
    <w:rsid w:val="00ED7F11"/>
    <w:rsid w:val="00EE6EA1"/>
    <w:rsid w:val="00F07356"/>
    <w:rsid w:val="00F26448"/>
    <w:rsid w:val="00F41E29"/>
    <w:rsid w:val="00F41F4E"/>
    <w:rsid w:val="00F42F27"/>
    <w:rsid w:val="00F45057"/>
    <w:rsid w:val="00F46F5A"/>
    <w:rsid w:val="00F47EC0"/>
    <w:rsid w:val="00F53B14"/>
    <w:rsid w:val="00F56BAA"/>
    <w:rsid w:val="00F6310F"/>
    <w:rsid w:val="00F75A0E"/>
    <w:rsid w:val="00F91937"/>
    <w:rsid w:val="00FA11EF"/>
    <w:rsid w:val="00FB3E4A"/>
    <w:rsid w:val="00FB7C64"/>
    <w:rsid w:val="00FC46D0"/>
    <w:rsid w:val="00FF1FA9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7C"/>
    <w:rPr>
      <w:rFonts w:eastAsiaTheme="minorEastAsia"/>
      <w:lang w:eastAsia="es-SV"/>
    </w:rPr>
  </w:style>
  <w:style w:type="paragraph" w:styleId="Ttulo1">
    <w:name w:val="heading 1"/>
    <w:basedOn w:val="Normal"/>
    <w:next w:val="Normal"/>
    <w:link w:val="Ttulo1Car"/>
    <w:qFormat/>
    <w:rsid w:val="00C1537C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37C"/>
    <w:rPr>
      <w:rFonts w:ascii="Times New Roman" w:eastAsiaTheme="majorEastAsia" w:hAnsi="Times New Roman" w:cstheme="majorBidi"/>
      <w:b/>
      <w:bCs/>
      <w:sz w:val="28"/>
      <w:szCs w:val="28"/>
      <w:lang w:eastAsia="es-SV"/>
    </w:rPr>
  </w:style>
  <w:style w:type="paragraph" w:styleId="Prrafodelista">
    <w:name w:val="List Paragraph"/>
    <w:basedOn w:val="Normal"/>
    <w:uiPriority w:val="34"/>
    <w:qFormat/>
    <w:rsid w:val="00C153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37C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15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7C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8B"/>
    <w:rPr>
      <w:rFonts w:ascii="Tahoma" w:eastAsiaTheme="minorEastAsia" w:hAnsi="Tahoma" w:cs="Tahoma"/>
      <w:sz w:val="16"/>
      <w:szCs w:val="1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F91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03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25">
    <w:name w:val="xl25"/>
    <w:basedOn w:val="Normal"/>
    <w:uiPriority w:val="99"/>
    <w:rsid w:val="00603788"/>
    <w:pPr>
      <w:spacing w:before="100" w:beforeAutospacing="1" w:after="100" w:afterAutospacing="1" w:line="36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56B23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C56B23"/>
    <w:pPr>
      <w:spacing w:after="0" w:line="240" w:lineRule="auto"/>
    </w:pPr>
    <w:rPr>
      <w:rFonts w:eastAsiaTheme="minorEastAsia"/>
      <w:lang w:eastAsia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7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309"/>
    <w:rPr>
      <w:rFonts w:asciiTheme="majorHAnsi" w:eastAsiaTheme="majorEastAsia" w:hAnsiTheme="majorHAnsi" w:cstheme="majorBidi"/>
      <w:color w:val="243F60" w:themeColor="accent1" w:themeShade="7F"/>
      <w:lang w:eastAsia="es-SV"/>
    </w:rPr>
  </w:style>
  <w:style w:type="paragraph" w:customStyle="1" w:styleId="Textoindependiente22">
    <w:name w:val="Texto independiente 22"/>
    <w:basedOn w:val="Normal"/>
    <w:rsid w:val="004B1309"/>
    <w:pPr>
      <w:spacing w:after="0" w:line="240" w:lineRule="auto"/>
    </w:pPr>
    <w:rPr>
      <w:rFonts w:ascii="Arial Narrow" w:eastAsiaTheme="minorHAnsi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7C"/>
    <w:rPr>
      <w:rFonts w:eastAsiaTheme="minorEastAsia"/>
      <w:lang w:eastAsia="es-SV"/>
    </w:rPr>
  </w:style>
  <w:style w:type="paragraph" w:styleId="Ttulo1">
    <w:name w:val="heading 1"/>
    <w:basedOn w:val="Normal"/>
    <w:next w:val="Normal"/>
    <w:link w:val="Ttulo1Car"/>
    <w:qFormat/>
    <w:rsid w:val="00C1537C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537C"/>
    <w:rPr>
      <w:rFonts w:ascii="Times New Roman" w:eastAsiaTheme="majorEastAsia" w:hAnsi="Times New Roman" w:cstheme="majorBidi"/>
      <w:b/>
      <w:bCs/>
      <w:sz w:val="28"/>
      <w:szCs w:val="28"/>
      <w:lang w:eastAsia="es-SV"/>
    </w:rPr>
  </w:style>
  <w:style w:type="paragraph" w:styleId="Prrafodelista">
    <w:name w:val="List Paragraph"/>
    <w:basedOn w:val="Normal"/>
    <w:uiPriority w:val="34"/>
    <w:qFormat/>
    <w:rsid w:val="00C153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37C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15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7C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8B"/>
    <w:rPr>
      <w:rFonts w:ascii="Tahoma" w:eastAsiaTheme="minorEastAsia" w:hAnsi="Tahoma" w:cs="Tahoma"/>
      <w:sz w:val="16"/>
      <w:szCs w:val="1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F91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03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xl25">
    <w:name w:val="xl25"/>
    <w:basedOn w:val="Normal"/>
    <w:uiPriority w:val="99"/>
    <w:rsid w:val="00603788"/>
    <w:pPr>
      <w:spacing w:before="100" w:beforeAutospacing="1" w:after="100" w:afterAutospacing="1" w:line="36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56B23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C56B23"/>
    <w:pPr>
      <w:spacing w:after="0" w:line="240" w:lineRule="auto"/>
    </w:pPr>
    <w:rPr>
      <w:rFonts w:eastAsiaTheme="minorEastAsia"/>
      <w:lang w:eastAsia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7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309"/>
    <w:rPr>
      <w:rFonts w:asciiTheme="majorHAnsi" w:eastAsiaTheme="majorEastAsia" w:hAnsiTheme="majorHAnsi" w:cstheme="majorBidi"/>
      <w:color w:val="243F60" w:themeColor="accent1" w:themeShade="7F"/>
      <w:lang w:eastAsia="es-SV"/>
    </w:rPr>
  </w:style>
  <w:style w:type="paragraph" w:customStyle="1" w:styleId="Textoindependiente22">
    <w:name w:val="Texto independiente 22"/>
    <w:basedOn w:val="Normal"/>
    <w:rsid w:val="004B1309"/>
    <w:pPr>
      <w:spacing w:after="0" w:line="240" w:lineRule="auto"/>
    </w:pPr>
    <w:rPr>
      <w:rFonts w:ascii="Arial Narrow" w:eastAsiaTheme="minorHAns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8016-0D92-4C98-A4D2-9FAEA096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2983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Barraza</dc:creator>
  <cp:lastModifiedBy>Jose Nelson Ventura Aleman</cp:lastModifiedBy>
  <cp:revision>12</cp:revision>
  <dcterms:created xsi:type="dcterms:W3CDTF">2017-02-17T21:12:00Z</dcterms:created>
  <dcterms:modified xsi:type="dcterms:W3CDTF">2018-02-28T16:47:00Z</dcterms:modified>
</cp:coreProperties>
</file>