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278" w:rsidRDefault="006417EC">
      <w:pPr>
        <w:spacing w:after="0"/>
        <w:jc w:val="center"/>
        <w:rPr>
          <w:rFonts w:ascii="Times New Roman" w:hAnsi="Times New Roman" w:cs="Times New Roman"/>
          <w:sz w:val="40"/>
          <w:szCs w:val="40"/>
        </w:rPr>
      </w:pPr>
      <w:bookmarkStart w:id="0" w:name="_GoBack"/>
      <w:bookmarkEnd w:id="0"/>
      <w:r>
        <w:rPr>
          <w:rFonts w:ascii="Times New Roman" w:hAnsi="Times New Roman" w:cs="Times New Roman"/>
          <w:noProof/>
          <w:sz w:val="40"/>
          <w:szCs w:val="40"/>
          <w:lang w:eastAsia="es-SV"/>
        </w:rPr>
        <w:pict>
          <v:rect id="Cuadro de texto 818" o:spid="_x0000_s1026" style="position:absolute;left:0;text-align:left;margin-left:18.15pt;margin-top:190.95pt;width:424.9pt;height:248.95pt;z-index:251658752" fillcolor="#9bbb59" strokecolor="#728a41" strokeweight=".71mm">
            <v:fill color2="#6444a6" o:detectmouseclick="t"/>
            <v:stroke joinstyle="round"/>
            <v:textbox>
              <w:txbxContent>
                <w:p w:rsidR="004F66EC" w:rsidRDefault="004F66EC">
                  <w:pPr>
                    <w:pStyle w:val="Contenidodelmarco"/>
                    <w:jc w:val="center"/>
                    <w:rPr>
                      <w:rFonts w:ascii="Elephant" w:hAnsi="Elephant"/>
                      <w:color w:val="FFFFFF"/>
                      <w:sz w:val="52"/>
                      <w:szCs w:val="52"/>
                    </w:rPr>
                  </w:pPr>
                </w:p>
                <w:p w:rsidR="004F66EC" w:rsidRDefault="005E7579">
                  <w:pPr>
                    <w:pStyle w:val="Contenidodelmarco"/>
                    <w:jc w:val="center"/>
                    <w:rPr>
                      <w:color w:val="FFFFFF"/>
                    </w:rPr>
                  </w:pPr>
                  <w:r>
                    <w:rPr>
                      <w:rFonts w:ascii="Elephant" w:hAnsi="Elephant"/>
                      <w:color w:val="FFFFFF"/>
                      <w:sz w:val="44"/>
                      <w:szCs w:val="44"/>
                    </w:rPr>
                    <w:t xml:space="preserve">GUIÁ DE ARCHIVO </w:t>
                  </w:r>
                  <w:r w:rsidR="00FA0D8E">
                    <w:rPr>
                      <w:rFonts w:ascii="Elephant" w:hAnsi="Elephant"/>
                      <w:color w:val="FFFFFF"/>
                      <w:sz w:val="44"/>
                      <w:szCs w:val="44"/>
                    </w:rPr>
                    <w:t>INSTITUCIONAL</w:t>
                  </w:r>
                </w:p>
                <w:p w:rsidR="004F66EC" w:rsidRDefault="008A6AFD">
                  <w:pPr>
                    <w:pStyle w:val="Contenidodelmarco"/>
                    <w:jc w:val="center"/>
                    <w:rPr>
                      <w:color w:val="FFFFFF"/>
                    </w:rPr>
                  </w:pPr>
                  <w:r>
                    <w:rPr>
                      <w:rFonts w:ascii="Elephant" w:hAnsi="Elephant"/>
                      <w:color w:val="FFFFFF"/>
                      <w:sz w:val="44"/>
                      <w:szCs w:val="44"/>
                    </w:rPr>
                    <w:t>2020</w:t>
                  </w:r>
                </w:p>
              </w:txbxContent>
            </v:textbox>
            <w10:wrap type="square"/>
          </v:rect>
        </w:pict>
      </w:r>
    </w:p>
    <w:p w:rsidR="007E3278" w:rsidRDefault="007E3278">
      <w:pPr>
        <w:spacing w:after="0"/>
        <w:jc w:val="center"/>
        <w:rPr>
          <w:rFonts w:ascii="Times New Roman" w:hAnsi="Times New Roman" w:cs="Times New Roman"/>
          <w:sz w:val="40"/>
          <w:szCs w:val="40"/>
        </w:rPr>
      </w:pPr>
    </w:p>
    <w:p w:rsidR="00FA0D8E" w:rsidRPr="00FB44AB" w:rsidRDefault="00FA0D8E" w:rsidP="00FA0D8E">
      <w:pPr>
        <w:pStyle w:val="Encabezado"/>
        <w:tabs>
          <w:tab w:val="left" w:pos="2932"/>
        </w:tabs>
        <w:jc w:val="center"/>
        <w:rPr>
          <w:rFonts w:ascii="Bembo Std" w:hAnsi="Bembo Std"/>
          <w:b/>
          <w:sz w:val="40"/>
          <w:szCs w:val="40"/>
        </w:rPr>
      </w:pPr>
      <w:r w:rsidRPr="00FB44AB">
        <w:rPr>
          <w:rFonts w:ascii="Bembo Std" w:hAnsi="Bembo Std"/>
          <w:b/>
          <w:sz w:val="40"/>
          <w:szCs w:val="40"/>
        </w:rPr>
        <w:t xml:space="preserve">OFICINA GENERAL DE ADMINISTRACION </w:t>
      </w:r>
    </w:p>
    <w:p w:rsidR="00FB44AB" w:rsidRPr="00FB44AB" w:rsidRDefault="00FB44AB" w:rsidP="00FA0D8E">
      <w:pPr>
        <w:pStyle w:val="Encabezado"/>
        <w:jc w:val="center"/>
        <w:rPr>
          <w:rFonts w:ascii="Bembo Std" w:hAnsi="Bembo Std"/>
          <w:sz w:val="40"/>
          <w:szCs w:val="40"/>
        </w:rPr>
      </w:pPr>
    </w:p>
    <w:p w:rsidR="00FA0D8E" w:rsidRPr="00FA0D8E" w:rsidRDefault="00FA0D8E" w:rsidP="00FA0D8E">
      <w:pPr>
        <w:pStyle w:val="Encabezado"/>
        <w:jc w:val="center"/>
        <w:rPr>
          <w:rFonts w:ascii="Bembo Std" w:hAnsi="Bembo Std"/>
        </w:rPr>
      </w:pPr>
      <w:r w:rsidRPr="00FB44AB">
        <w:rPr>
          <w:rFonts w:ascii="Bembo Std" w:hAnsi="Bembo Std"/>
          <w:sz w:val="40"/>
          <w:szCs w:val="40"/>
        </w:rPr>
        <w:t>UNIDAD DE GESTIÓN DOCUMENTAL Y ARCHIVO</w:t>
      </w:r>
      <w:r w:rsidRPr="00FA0D8E">
        <w:rPr>
          <w:rFonts w:ascii="Bembo Std" w:hAnsi="Bembo Std"/>
        </w:rPr>
        <w:t xml:space="preserve"> </w:t>
      </w:r>
    </w:p>
    <w:p w:rsidR="00FA0D8E" w:rsidRPr="00FA0D8E" w:rsidRDefault="00FA0D8E" w:rsidP="00FA0D8E">
      <w:pPr>
        <w:pStyle w:val="Encabezado"/>
        <w:jc w:val="center"/>
        <w:rPr>
          <w:rFonts w:ascii="Bembo Std" w:hAnsi="Bembo Std"/>
        </w:rPr>
      </w:pPr>
    </w:p>
    <w:p w:rsidR="007E3278" w:rsidRPr="00FA0D8E" w:rsidRDefault="007E3278">
      <w:pPr>
        <w:spacing w:after="0"/>
        <w:jc w:val="center"/>
        <w:rPr>
          <w:rFonts w:ascii="Bembo Std" w:hAnsi="Bembo Std"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FA0D8E" w:rsidRDefault="00FA0D8E">
      <w:pPr>
        <w:spacing w:after="0"/>
        <w:rPr>
          <w:rFonts w:ascii="Times New Roman" w:hAnsi="Times New Roman" w:cs="Times New Roman"/>
          <w:sz w:val="40"/>
          <w:szCs w:val="40"/>
        </w:rPr>
      </w:pPr>
    </w:p>
    <w:p w:rsidR="00FA0D8E" w:rsidRDefault="00FA0D8E">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lang w:val="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t>Presentación</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Default="007E3278">
      <w:pPr>
        <w:ind w:left="360"/>
        <w:contextualSpacing/>
        <w:jc w:val="both"/>
        <w:rPr>
          <w:rFonts w:ascii="Arial" w:eastAsia="Times New Roman" w:hAnsi="Arial" w:cs="Arial"/>
          <w:sz w:val="20"/>
          <w:lang w:val="es-ES" w:eastAsia="es-ES"/>
        </w:rPr>
      </w:pP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Arial" w:eastAsia="Times New Roman" w:hAnsi="Arial" w:cs="Arial"/>
          <w:sz w:val="20"/>
          <w:lang w:val="es-ES" w:eastAsia="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t>Introducción</w:t>
      </w:r>
    </w:p>
    <w:p w:rsidR="007E3278" w:rsidRDefault="00C22761">
      <w:pPr>
        <w:ind w:left="360"/>
        <w:contextualSpacing/>
        <w:jc w:val="both"/>
        <w:rPr>
          <w:rFonts w:ascii="Arial" w:hAnsi="Arial" w:cs="Arial"/>
          <w:sz w:val="20"/>
          <w:lang w:val="es-ES"/>
        </w:rPr>
      </w:pPr>
      <w:r>
        <w:rPr>
          <w:rFonts w:ascii="Arial" w:hAnsi="Arial" w:cs="Arial"/>
          <w:sz w:val="20"/>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Default="007E3278">
      <w:pPr>
        <w:ind w:left="360"/>
        <w:contextualSpacing/>
        <w:jc w:val="both"/>
        <w:rPr>
          <w:rFonts w:ascii="Arial" w:hAnsi="Arial" w:cs="Arial"/>
          <w:sz w:val="20"/>
          <w:lang w:val="es-ES"/>
        </w:rPr>
      </w:pPr>
    </w:p>
    <w:p w:rsidR="007E3278" w:rsidRDefault="00C22761">
      <w:pPr>
        <w:ind w:left="360"/>
        <w:contextualSpacing/>
        <w:jc w:val="both"/>
        <w:rPr>
          <w:rFonts w:ascii="Arial" w:hAnsi="Arial" w:cs="Arial"/>
          <w:sz w:val="20"/>
          <w:lang w:val="es-ES"/>
        </w:rPr>
      </w:pPr>
      <w:r>
        <w:rPr>
          <w:rFonts w:ascii="Arial" w:hAnsi="Arial" w:cs="Arial"/>
          <w:sz w:val="20"/>
          <w:lang w:val="es-ES"/>
        </w:rPr>
        <w:t>Esta guía es un instrumento descriptivo de la naturaleza operativa del Ministerio de Agricultura y Ganadería orientada a la consulta documental para todos aquellos usuarios que soliciten información.</w:t>
      </w: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C22761">
      <w:pPr>
        <w:spacing w:line="360" w:lineRule="auto"/>
        <w:contextualSpacing/>
        <w:jc w:val="both"/>
        <w:rPr>
          <w:rFonts w:ascii="Arial" w:hAnsi="Arial" w:cs="Arial"/>
          <w:b/>
        </w:rPr>
      </w:pPr>
      <w:r>
        <w:rPr>
          <w:rFonts w:ascii="Arial" w:hAnsi="Arial" w:cs="Arial"/>
          <w:b/>
        </w:rPr>
        <w:t>Descripción de la Guía</w:t>
      </w:r>
    </w:p>
    <w:p w:rsidR="007E3278" w:rsidRDefault="00C22761">
      <w:pPr>
        <w:spacing w:after="0" w:line="240" w:lineRule="auto"/>
        <w:jc w:val="both"/>
        <w:rPr>
          <w:rFonts w:ascii="Arial" w:hAnsi="Arial" w:cs="Arial"/>
        </w:rPr>
      </w:pPr>
      <w:r>
        <w:rPr>
          <w:rFonts w:ascii="Arial" w:hAnsi="Arial" w:cs="Arial"/>
        </w:rPr>
        <w:t>A continuación se describe las partes de la guía:</w:t>
      </w:r>
    </w:p>
    <w:p w:rsidR="007E3278" w:rsidRDefault="007E3278">
      <w:pPr>
        <w:spacing w:after="0" w:line="240" w:lineRule="auto"/>
        <w:jc w:val="both"/>
        <w:rPr>
          <w:rFonts w:ascii="Arial" w:hAnsi="Arial" w:cs="Arial"/>
        </w:rPr>
      </w:pPr>
    </w:p>
    <w:tbl>
      <w:tblPr>
        <w:tblW w:w="9013" w:type="dxa"/>
        <w:tblInd w:w="-106" w:type="dxa"/>
        <w:tblLook w:val="00A0" w:firstRow="1" w:lastRow="0" w:firstColumn="1" w:lastColumn="0" w:noHBand="0" w:noVBand="0"/>
      </w:tblPr>
      <w:tblGrid>
        <w:gridCol w:w="1561"/>
        <w:gridCol w:w="7452"/>
      </w:tblGrid>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IDENTIFICACIÓN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1.1</w:t>
            </w:r>
          </w:p>
          <w:p w:rsidR="007E3278" w:rsidRDefault="00C22761">
            <w:pPr>
              <w:spacing w:after="0" w:line="240" w:lineRule="auto"/>
              <w:rPr>
                <w:rFonts w:ascii="Times New Roman" w:hAnsi="Times New Roman" w:cs="Times New Roman"/>
              </w:rPr>
            </w:pPr>
            <w:r>
              <w:rPr>
                <w:rFonts w:ascii="Times New Roman" w:hAnsi="Times New Roman" w:cs="Times New Roman"/>
              </w:rPr>
              <w:t>Identificador</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 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Forma Autorizada del Nombre</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1.3 Forma  </w:t>
            </w:r>
          </w:p>
          <w:p w:rsidR="007E3278" w:rsidRDefault="00C22761">
            <w:pPr>
              <w:spacing w:after="0" w:line="240" w:lineRule="auto"/>
              <w:rPr>
                <w:rFonts w:ascii="Times New Roman" w:hAnsi="Times New Roman" w:cs="Times New Roman"/>
              </w:rPr>
            </w:pPr>
            <w:r>
              <w:rPr>
                <w:rFonts w:ascii="Times New Roman" w:hAnsi="Times New Roman" w:cs="Times New Roman"/>
              </w:rPr>
              <w:t>Paralela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1.4  Tipo de institución que conserva los fondos documentales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Entidad Gubernamental que tiene como finalidad el desarrollo de la Agricultura Nacional.</w:t>
            </w:r>
          </w:p>
          <w:p w:rsidR="007E3278" w:rsidRDefault="00C22761">
            <w:pPr>
              <w:spacing w:after="0" w:line="240" w:lineRule="auto"/>
              <w:rPr>
                <w:rFonts w:ascii="Times New Roman" w:hAnsi="Times New Roman" w:cs="Times New Roman"/>
              </w:rPr>
            </w:pPr>
            <w:r>
              <w:rPr>
                <w:rFonts w:ascii="Times New Roman" w:hAnsi="Times New Roman" w:cs="Times New Roman"/>
              </w:rPr>
              <w:t>Ciclo Vital: Archivos de Gestión, Archivo Central, Archivos Periféricos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CONTACTO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2.1  Localización y Dirección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Edificio E, primer nivel.</w:t>
            </w:r>
          </w:p>
          <w:p w:rsidR="007E3278" w:rsidRDefault="00C22761">
            <w:pPr>
              <w:spacing w:after="0" w:line="240" w:lineRule="auto"/>
              <w:rPr>
                <w:rFonts w:ascii="Times New Roman" w:hAnsi="Times New Roman" w:cs="Times New Roman"/>
              </w:rPr>
            </w:pPr>
            <w:r>
              <w:rPr>
                <w:rFonts w:ascii="Times New Roman" w:hAnsi="Times New Roman" w:cs="Times New Roman"/>
              </w:rPr>
              <w:t>Final 1ª avenida norte, 13 calle oriente y avenida Manual Gallardo, Santa Tecla, La Libertad, El Salvador, Centro América.</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 30 am a 3:30 pm</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2.2  Teléfono, Fax, Correo electrónico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Unidad de Gestión Documental Institucional</w:t>
            </w:r>
          </w:p>
          <w:p w:rsidR="007E3278" w:rsidRDefault="00C22761">
            <w:pPr>
              <w:spacing w:after="0" w:line="240" w:lineRule="auto"/>
              <w:rPr>
                <w:rFonts w:ascii="Times New Roman" w:hAnsi="Times New Roman" w:cs="Times New Roman"/>
              </w:rPr>
            </w:pPr>
            <w:r>
              <w:rPr>
                <w:rFonts w:ascii="Times New Roman" w:hAnsi="Times New Roman" w:cs="Times New Roman"/>
              </w:rPr>
              <w:t>Teléfonos: 2210-5290 / PBX: 2210-1700 Ext. 5101</w:t>
            </w:r>
          </w:p>
          <w:p w:rsidR="007E3278" w:rsidRDefault="00C22761">
            <w:pPr>
              <w:spacing w:after="0" w:line="240" w:lineRule="auto"/>
            </w:pPr>
            <w:r>
              <w:rPr>
                <w:rFonts w:ascii="Times New Roman" w:hAnsi="Times New Roman" w:cs="Times New Roman"/>
              </w:rPr>
              <w:t xml:space="preserve">Correo electrónico:  </w:t>
            </w:r>
            <w:hyperlink r:id="rId9">
              <w:r>
                <w:rPr>
                  <w:rStyle w:val="EnlacedeInternet"/>
                  <w:rFonts w:ascii="Times New Roman" w:hAnsi="Times New Roman" w:cs="Times New Roman"/>
                </w:rPr>
                <w:t>elisa.mejia@mag.gob.sv</w:t>
              </w:r>
            </w:hyperlink>
          </w:p>
          <w:p w:rsidR="007E3278" w:rsidRDefault="007E3278">
            <w:pPr>
              <w:spacing w:after="0" w:line="240" w:lineRule="auto"/>
              <w:rPr>
                <w:rFonts w:ascii="Times New Roman" w:hAnsi="Times New Roman" w:cs="Times New Roman"/>
              </w:rPr>
            </w:pPr>
          </w:p>
        </w:tc>
      </w:tr>
      <w:tr w:rsidR="007E3278" w:rsidTr="00FA0D8E">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rsidP="00FA0D8E">
            <w:pPr>
              <w:spacing w:after="0" w:line="240" w:lineRule="auto"/>
              <w:jc w:val="center"/>
              <w:rPr>
                <w:rFonts w:ascii="Times New Roman" w:hAnsi="Times New Roman" w:cs="Times New Roman"/>
              </w:rPr>
            </w:pPr>
            <w:r>
              <w:rPr>
                <w:rFonts w:ascii="Times New Roman" w:hAnsi="Times New Roman" w:cs="Times New Roman"/>
              </w:rPr>
              <w:t>2.3 Contacto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Oficina de Información y Respuesta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Información y Respuesta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Unidad de Gestión Documental y Archivo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Documental y Archivo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3</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DESCRIPCIÓN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Historia de la institución que custodia los fondos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1883 debido al incremento de la industria Agrícola Nacional fue  promulgado el "Código de Agricultura", reconociendo de esa forma por parte del Gobierno, la importancia de las actividades agrícolas.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1946-1947, quien en ese entonces era el Ministro, Don Jaime D. Hill, El Ramo de Agricultura e Industria se comienza a llamar Ministerio de Agricultura y dentro de sus logros tenemos: La Ley Agraria.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la reorganización del Ramo de agricultura aparecen:</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Jurídico</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Dirección General de Agricultura (Central, Occidental y  Oriental)</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de forestación y conservación de suelos</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Centro Nacional de Agronomía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área de Registro Genealógico de Ganado de raza fina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Policía Agrícola y Guarda Bosques de Propiedad Marítimas y asimismo,</w:t>
            </w: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Aparecen las instituciones Autónomas:</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Cafetalera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de Ganaderos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Comisión de la Defensa de la Industria Azucarera</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Cooperativa Algodonera Salvadoreña Limitada</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Logros: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Existencia de 562,112 cabezas de ganado y creación de registro genealógico de ganado raza fina.</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en el Ramo de Agricultura y Ganadería para el año de 1950 se dio de la siguiente manera: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Correspondencia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Asesoría Jurídica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Contabilidad</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 xml:space="preserve">Oficina Central de Marcas y Fierros de herrar ganado </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Asuntos de FAO y Secretaría de la Comisión de Defensa de la Industria Azucarera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DIRECCIONES: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Dirección General de Agricultura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Estudios Económicos y Estadísticos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Centro Nacional de Agronomía (Departamento de Divulgación Agrícola, Agronómico, Horticultura, Ingeniería, </w:t>
            </w:r>
            <w:proofErr w:type="spellStart"/>
            <w:r>
              <w:rPr>
                <w:rFonts w:ascii="Times New Roman" w:hAnsi="Times New Roman" w:cs="Times New Roman"/>
              </w:rPr>
              <w:t>Citopatología</w:t>
            </w:r>
            <w:proofErr w:type="spellEnd"/>
            <w:r>
              <w:rPr>
                <w:rFonts w:ascii="Times New Roman" w:hAnsi="Times New Roman" w:cs="Times New Roman"/>
              </w:rPr>
              <w:t xml:space="preserve"> y Entomología, Fomento Agrícola, Ganadería)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Departamento de Conservación y Aprovechamiento de Recursos Naturales </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Mecanización Agrícola</w:t>
            </w: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t>1951-1952</w:t>
            </w:r>
          </w:p>
          <w:p w:rsidR="007E3278" w:rsidRDefault="00C22761">
            <w:pPr>
              <w:spacing w:after="0" w:line="240" w:lineRule="auto"/>
              <w:rPr>
                <w:rFonts w:ascii="Times New Roman" w:hAnsi="Times New Roman" w:cs="Times New Roman"/>
              </w:rPr>
            </w:pPr>
            <w:r>
              <w:rPr>
                <w:rFonts w:ascii="Times New Roman" w:hAnsi="Times New Roman" w:cs="Times New Roman"/>
              </w:rPr>
              <w:t>El ministerio de Agricultura y Ganadería se organizó así:</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Dirección General de Agricultura (Administración de Secretaría de Estado)</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Departamento de Estudios Económicos y Estadísticos con 14 Delegados a nivel nacional para investigar diferentes cosechas del año agrícola Centro Nacional de Agronomía</w:t>
            </w:r>
          </w:p>
          <w:p w:rsidR="007E3278" w:rsidRDefault="007E3278">
            <w:pPr>
              <w:pStyle w:val="Prrafodelista"/>
              <w:spacing w:after="0" w:line="240" w:lineRule="auto"/>
              <w:rPr>
                <w:rFonts w:ascii="Times New Roman" w:hAnsi="Times New Roman" w:cs="Times New Roman"/>
              </w:rPr>
            </w:pP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Administración</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Estación Experimental, San Salvador</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Subestación, Santa Cruz Porrillo</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de divulgación Agrícola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Agronómico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de libras</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forrajes y caña de azucara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Conservación de suelos y agua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Tecnología de Suelos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AGRONOMICO</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caficultura</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Hortalizas</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Frutales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INGENIERIA, (Sección de Irrigación y Drenaje)</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Departamento de Química Agrícola (Sección de Industria animal, Sección de Suelos)</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Departamento de Fitopatología y Entomología, (Sección de investigación y Enfermedades, Sección de Investigación de Plagas)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FOMENTO AGRÍCOLA: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Genética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cereales</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caña de azúcar</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Divulgación Agrícola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DEPARTAMENTO DE GANADERÍA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Sección de Sanidad Animal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de Patología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Sección de consulta Médico Veterinario</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Establos La Ceiba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Postal Zootécnica de </w:t>
            </w:r>
            <w:proofErr w:type="spellStart"/>
            <w:r>
              <w:rPr>
                <w:rFonts w:ascii="Times New Roman" w:hAnsi="Times New Roman" w:cs="Times New Roman"/>
              </w:rPr>
              <w:t>Izalco</w:t>
            </w:r>
            <w:proofErr w:type="spellEnd"/>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lastRenderedPageBreak/>
              <w:t>Postal Zootécnica de Santa Ana</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Miguel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Postal Zootécnica de </w:t>
            </w:r>
            <w:proofErr w:type="spellStart"/>
            <w:r>
              <w:rPr>
                <w:rFonts w:ascii="Times New Roman" w:hAnsi="Times New Roman" w:cs="Times New Roman"/>
              </w:rPr>
              <w:t>Suchitoto</w:t>
            </w:r>
            <w:proofErr w:type="spellEnd"/>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Vicente</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CONSERVACIÓN Y APROVECHAMIENTO DE RECURSOS NATURALES: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 xml:space="preserve">Sección de Ingeniería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Forestación y Viveros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Sanidad Vegetal</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 xml:space="preserve">Sección de Caza y Pesca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Bosques y Parques Nacionales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MECANIZACIÓN</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Sección de Bodegas y Talleres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ALGUNOS LOGROS:</w:t>
            </w:r>
          </w:p>
          <w:p w:rsidR="007E3278" w:rsidRDefault="00C22761">
            <w:pPr>
              <w:spacing w:after="0" w:line="240" w:lineRule="auto"/>
              <w:rPr>
                <w:rFonts w:ascii="Times New Roman" w:hAnsi="Times New Roman" w:cs="Times New Roman"/>
              </w:rPr>
            </w:pPr>
            <w:r>
              <w:rPr>
                <w:rFonts w:ascii="Times New Roman" w:hAnsi="Times New Roman" w:cs="Times New Roman"/>
              </w:rPr>
              <w:t>La obtención de semilla mejorada, estudios de reconocimiento y clasificación de suelos, sobre costo de producción de maíz, sobre método para el combate de mancha negra de henequén, etc.</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1955-1956</w:t>
            </w:r>
          </w:p>
          <w:p w:rsidR="007E3278" w:rsidRDefault="00C22761">
            <w:pPr>
              <w:spacing w:after="0" w:line="240" w:lineRule="auto"/>
              <w:rPr>
                <w:rFonts w:ascii="Times New Roman" w:hAnsi="Times New Roman" w:cs="Times New Roman"/>
              </w:rPr>
            </w:pPr>
            <w:r>
              <w:rPr>
                <w:rFonts w:ascii="Times New Roman" w:hAnsi="Times New Roman" w:cs="Times New Roman"/>
              </w:rPr>
              <w:t>En este año la organización del MAG se presentó así:</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 Agricultura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Economía Agrícola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 Ganadería}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Servicio Cooperativo Agrícola Salvadoreño-Americano (</w:t>
            </w:r>
            <w:proofErr w:type="spellStart"/>
            <w:r>
              <w:rPr>
                <w:rFonts w:ascii="Times New Roman" w:hAnsi="Times New Roman" w:cs="Times New Roman"/>
              </w:rPr>
              <w:t>Oxgasa</w:t>
            </w:r>
            <w:proofErr w:type="spellEnd"/>
            <w:r>
              <w:rPr>
                <w:rFonts w:ascii="Times New Roman" w:hAnsi="Times New Roman" w:cs="Times New Roman"/>
              </w:rPr>
              <w:t>)</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Administración de Programas de Desarrollo Agrícola de El Valle La Esperanza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estos años se crearon:</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El Instituto Salvadoreño de Investigaciones del Café (ISIC)</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Escuela Nacional de Agricultura “Roberto Quiñónez”</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Centro Nacional de Ganadería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1990-1991</w:t>
            </w: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estaba de la siguiente manera: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Oficina Sectorial de Planificación Agropecuaria (OSPA)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Operaciones (DGO)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Recursos Naturales (DRN)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Recursos Naturales (CEMREN)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Servicios Agropecuarios (DSAP)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Tecnología Agrícola (CENTA)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Desarrollo Ganadero (CDG)</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lastRenderedPageBreak/>
              <w:t>Centro de Desarrollo Pesquero (CENDEPESCA)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Riego y Drenaje (CDRD)</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Meteorología y Servicios Especiales</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Capacitación Agropecuaria (CENCAP)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Defensa Agropecuaria (CDA)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Economía Agropecuaria (DGEA)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Occidental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Paracentral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Oriental</w:t>
            </w:r>
          </w:p>
          <w:p w:rsidR="007E3278" w:rsidRDefault="007E3278">
            <w:pPr>
              <w:pStyle w:val="Prrafodelista"/>
              <w:spacing w:after="0" w:line="240" w:lineRule="auto"/>
              <w:jc w:val="both"/>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CENTRALIZADAS</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Banco de Fomento Agropecuario (BFA)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Financiera Nacional de Tierras Agrícolas (FINATA)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ISTA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Instituto de Investigaciones de Café (ISIC)</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2000-2001</w:t>
            </w:r>
          </w:p>
          <w:p w:rsidR="007E3278" w:rsidRDefault="00C22761">
            <w:pPr>
              <w:spacing w:after="0" w:line="240" w:lineRule="auto"/>
              <w:rPr>
                <w:rFonts w:ascii="Times New Roman" w:hAnsi="Times New Roman" w:cs="Times New Roman"/>
              </w:rPr>
            </w:pPr>
            <w:r>
              <w:rPr>
                <w:rFonts w:ascii="Times New Roman" w:hAnsi="Times New Roman" w:cs="Times New Roman"/>
              </w:rPr>
              <w:t>El organigrama del MAG se detalla así:</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Despacho Ministerial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Asesoría Jurídica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Dirección Estratégica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Auditoría Interna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General de Administración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Financiera Institucional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Coordinadora de Proyectos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Comunicaciones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Oficinas de Adquisiciones y Contrataciones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Sanidad Vegetal y Animal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Recursos Naturales Renovables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Desarrollo Pesquero</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Economía Agropecuaria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descentralizadas:</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Instituto Salvadoreño de Transformación Agraria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Banco de Fomento Agropecuario</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Centro Nacional de Tecnología Agropecuaria y Forestal</w:t>
            </w: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994298">
            <w:pPr>
              <w:spacing w:after="0" w:line="240" w:lineRule="auto"/>
              <w:rPr>
                <w:rFonts w:ascii="Times New Roman" w:hAnsi="Times New Roman" w:cs="Times New Roman"/>
              </w:rPr>
            </w:pPr>
            <w:r>
              <w:rPr>
                <w:rFonts w:ascii="Times New Roman" w:hAnsi="Times New Roman" w:cs="Times New Roman"/>
              </w:rPr>
              <w:t>A</w:t>
            </w:r>
            <w:r w:rsidR="00C22761">
              <w:rPr>
                <w:rFonts w:ascii="Times New Roman" w:hAnsi="Times New Roman" w:cs="Times New Roman"/>
              </w:rPr>
              <w:t>ctualmente la estructura organizativa del MAG está de la siguiente forma:</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DECISORIO:</w:t>
            </w:r>
            <w:r>
              <w:rPr>
                <w:rFonts w:ascii="Times New Roman" w:hAnsi="Times New Roman" w:cs="Times New Roman"/>
              </w:rPr>
              <w:t xml:space="preserve">     Despacho Ministerial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Administración y Finanzas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ASESOR:</w:t>
            </w:r>
            <w:r>
              <w:rPr>
                <w:rFonts w:ascii="Times New Roman" w:hAnsi="Times New Roman" w:cs="Times New Roman"/>
              </w:rPr>
              <w:t xml:space="preserve">           Oficina de Asesoría Jurídica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Comunicaciones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Auditoría Interna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Políticas y Planificación Sectorial</w:t>
            </w:r>
          </w:p>
          <w:p w:rsidR="00994298" w:rsidRDefault="00994298" w:rsidP="00994298">
            <w:pPr>
              <w:spacing w:after="0" w:line="240" w:lineRule="auto"/>
              <w:ind w:left="2124"/>
              <w:rPr>
                <w:rFonts w:ascii="Times New Roman" w:hAnsi="Times New Roman" w:cs="Times New Roman"/>
              </w:rPr>
            </w:pPr>
            <w:r>
              <w:rPr>
                <w:rFonts w:ascii="Times New Roman" w:hAnsi="Times New Roman" w:cs="Times New Roman"/>
              </w:rPr>
              <w:t>Oficina de Cooperación para el Desarrollo Agropecuario</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 APOYO:</w:t>
            </w:r>
            <w:r>
              <w:rPr>
                <w:rFonts w:ascii="Times New Roman" w:hAnsi="Times New Roman" w:cs="Times New Roman"/>
              </w:rPr>
              <w:t xml:space="preserve">       Oficina Financiera Institucional</w:t>
            </w:r>
          </w:p>
          <w:p w:rsidR="00994298" w:rsidRDefault="00994298" w:rsidP="00994298">
            <w:pPr>
              <w:spacing w:after="0" w:line="240" w:lineRule="auto"/>
              <w:ind w:left="2124"/>
              <w:rPr>
                <w:rFonts w:ascii="Times New Roman" w:hAnsi="Times New Roman" w:cs="Times New Roman"/>
              </w:rPr>
            </w:pPr>
            <w:r>
              <w:rPr>
                <w:rFonts w:ascii="Times New Roman" w:hAnsi="Times New Roman" w:cs="Times New Roman"/>
              </w:rPr>
              <w:t>Oficina General de Administración</w:t>
            </w:r>
          </w:p>
          <w:p w:rsidR="00994298" w:rsidRDefault="00C22761">
            <w:pPr>
              <w:spacing w:after="0" w:line="240" w:lineRule="auto"/>
              <w:rPr>
                <w:rFonts w:ascii="Times New Roman" w:hAnsi="Times New Roman" w:cs="Times New Roman"/>
              </w:rPr>
            </w:pPr>
            <w:r>
              <w:rPr>
                <w:rFonts w:ascii="Times New Roman" w:hAnsi="Times New Roman" w:cs="Times New Roman"/>
              </w:rPr>
              <w:t xml:space="preserve">                                      Oficina de Adquisiciones y Contrataciones Institucional</w:t>
            </w:r>
          </w:p>
          <w:p w:rsidR="00994298" w:rsidRDefault="00994298" w:rsidP="00994298">
            <w:pPr>
              <w:spacing w:after="0" w:line="240" w:lineRule="auto"/>
              <w:ind w:left="2124"/>
              <w:rPr>
                <w:rFonts w:ascii="Times New Roman" w:hAnsi="Times New Roman" w:cs="Times New Roman"/>
              </w:rPr>
            </w:pPr>
            <w:r>
              <w:rPr>
                <w:rFonts w:ascii="Times New Roman" w:hAnsi="Times New Roman" w:cs="Times New Roman"/>
              </w:rPr>
              <w:t>Oficina de Información y Respuesta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Dirección General de Economía Agropecuario</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CENTRALIZADO:          </w:t>
            </w:r>
            <w:r>
              <w:rPr>
                <w:rFonts w:ascii="Times New Roman" w:hAnsi="Times New Roman" w:cs="Times New Roman"/>
              </w:rPr>
              <w:t>Dirección General de Sanidad Vegetal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Ordenamiento Forestal, Cuencas y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Riego</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Ganadería</w:t>
            </w:r>
          </w:p>
          <w:p w:rsidR="00994298" w:rsidRDefault="00994298" w:rsidP="00994298">
            <w:pPr>
              <w:spacing w:after="0" w:line="240" w:lineRule="auto"/>
              <w:ind w:left="2124"/>
              <w:rPr>
                <w:rFonts w:ascii="Times New Roman" w:hAnsi="Times New Roman" w:cs="Times New Roman"/>
              </w:rPr>
            </w:pPr>
            <w:r>
              <w:rPr>
                <w:rFonts w:ascii="Times New Roman" w:hAnsi="Times New Roman" w:cs="Times New Roman"/>
              </w:rPr>
              <w:t>Dirección General de Desarrollo Rural</w:t>
            </w:r>
          </w:p>
          <w:p w:rsidR="001F48B4" w:rsidRDefault="001F48B4" w:rsidP="001F48B4">
            <w:pPr>
              <w:spacing w:after="0" w:line="240" w:lineRule="auto"/>
              <w:ind w:left="2124"/>
              <w:rPr>
                <w:rFonts w:ascii="Times New Roman" w:hAnsi="Times New Roman" w:cs="Times New Roman"/>
              </w:rPr>
            </w:pPr>
            <w:r>
              <w:rPr>
                <w:rFonts w:ascii="Times New Roman" w:hAnsi="Times New Roman" w:cs="Times New Roman"/>
              </w:rPr>
              <w:t>Dirección General de Desarrollo de la Pesca y la Acuicultura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Centro Nacional de Tecnología Agropecuaria y Forestal</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DESCENTRALIZADO   </w:t>
            </w:r>
            <w:r>
              <w:rPr>
                <w:rFonts w:ascii="Times New Roman" w:hAnsi="Times New Roman" w:cs="Times New Roman"/>
              </w:rPr>
              <w:t xml:space="preserve"> “Enrique Álvarez”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Escuela Nacional de Agricultura “Roberto Quiñónez”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Instituto Salvadoreño de Transformación Agraria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Banco de Fomento Agropecuario</w:t>
            </w:r>
          </w:p>
          <w:p w:rsidR="00FA0D8E" w:rsidRDefault="00FA0D8E">
            <w:pPr>
              <w:spacing w:after="0" w:line="240" w:lineRule="auto"/>
              <w:rPr>
                <w:rFonts w:ascii="Times New Roman" w:hAnsi="Times New Roman" w:cs="Times New Roman"/>
              </w:rPr>
            </w:pPr>
          </w:p>
        </w:tc>
      </w:tr>
      <w:tr w:rsidR="007E3278">
        <w:trPr>
          <w:trHeight w:val="1536"/>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Breve historia del archivo </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FA0D8E" w:rsidRDefault="00FA0D8E">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7E3278" w:rsidRDefault="007E3278">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FA0D8E" w:rsidRDefault="00FA0D8E">
            <w:pPr>
              <w:spacing w:after="0" w:line="240" w:lineRule="auto"/>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Pr>
                <w:rFonts w:ascii="Times New Roman" w:hAnsi="Times New Roman" w:cs="Times New Roman"/>
              </w:rPr>
              <w:t>venia</w:t>
            </w:r>
            <w:proofErr w:type="spellEnd"/>
            <w:r>
              <w:rPr>
                <w:rFonts w:ascii="Times New Roman" w:hAnsi="Times New Roman" w:cs="Times New Roman"/>
              </w:rPr>
              <w:t xml:space="preserve"> utilizando.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La transferencia de documentos en esos años era mínima. En el año de 1989 el archivo estuvo a cargo del señor Francisco Edgardo Portillo y en 1992 quedó como encargado el señor Antonio Morales Trujillo.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Default="00FA0D8E">
            <w:pPr>
              <w:spacing w:after="0" w:line="240" w:lineRule="auto"/>
              <w:jc w:val="both"/>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Contexto cultural geográfico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Default="00FA0D8E" w:rsidP="00FA0D8E">
            <w:pPr>
              <w:pStyle w:val="Prrafodelista"/>
              <w:numPr>
                <w:ilvl w:val="0"/>
                <w:numId w:val="19"/>
              </w:numPr>
              <w:spacing w:after="0" w:line="240" w:lineRule="auto"/>
              <w:rPr>
                <w:rFonts w:ascii="Times New Roman" w:hAnsi="Times New Roman" w:cs="Times New Roman"/>
              </w:rPr>
            </w:pPr>
          </w:p>
          <w:p w:rsidR="007E3278" w:rsidRPr="00FA0D8E" w:rsidRDefault="00C22761" w:rsidP="00FA0D8E">
            <w:pPr>
              <w:pStyle w:val="Prrafodelista"/>
              <w:numPr>
                <w:ilvl w:val="0"/>
                <w:numId w:val="19"/>
              </w:numPr>
              <w:spacing w:after="0" w:line="240" w:lineRule="auto"/>
              <w:rPr>
                <w:rFonts w:ascii="Times New Roman" w:hAnsi="Times New Roman" w:cs="Times New Roman"/>
              </w:rPr>
            </w:pPr>
            <w:r w:rsidRPr="00FA0D8E">
              <w:rPr>
                <w:rFonts w:ascii="Times New Roman" w:hAnsi="Times New Roman" w:cs="Times New Roman"/>
              </w:rPr>
              <w:t>Contribuir a reducir la pobreza extrema y a garantizar la disponibilidad de alimentos en las zonas rurales del país.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Contribuir a la generación de empleo e ingresos mediante la transformación del agro y el medio rural en un espacio atractivo para la inversión privada.</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Propiciar una agricultura diversificada, sostenible, con alto valor agregado, rentable y competitivo.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Propiciar una mayor integración económica y social entre las zonas rurales y urbanas del país, para alcanzar un desarrollo nacional más participativo, incluyente y con igualdad de género.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Coadyuvar a reducir la degradación, la vulnerabilidad y el deterioro de la base natural en que se sustentan las actividades agropecuarias.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Fortalecer la capacidad institucional para responder con eficacia y eficiencia a las necesidades de desarrollo del sector agropecuario ampliado.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 xml:space="preserve">Prevenir y mitigar el riesgo ante fenómenos naturales en las zonas </w:t>
            </w:r>
            <w:r>
              <w:rPr>
                <w:rFonts w:ascii="Times New Roman" w:hAnsi="Times New Roman" w:cs="Times New Roman"/>
              </w:rPr>
              <w:lastRenderedPageBreak/>
              <w:t>agropecuarias de mayor vulnerabilidad en el país.</w:t>
            </w:r>
          </w:p>
          <w:p w:rsidR="008835C2" w:rsidRPr="008835C2" w:rsidRDefault="008835C2" w:rsidP="008835C2">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3.3  Atribuciones/ Fuentes Legales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Default="008835C2">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Las leyes, políticas y normas que se relacionan en el actuar del MAG están dentro del marco jurídico siguiente: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 xml:space="preserve">Constitución de la República de El Salvador </w:t>
            </w:r>
          </w:p>
          <w:p w:rsidR="007E3278" w:rsidRDefault="006417EC">
            <w:pPr>
              <w:pStyle w:val="Prrafodelista"/>
              <w:numPr>
                <w:ilvl w:val="1"/>
                <w:numId w:val="16"/>
              </w:numPr>
              <w:spacing w:after="0" w:line="240" w:lineRule="auto"/>
            </w:pPr>
            <w:hyperlink r:id="rId10" w:tgtFrame="_blank">
              <w:r w:rsidR="00C22761">
                <w:rPr>
                  <w:rStyle w:val="ListLabel159"/>
                </w:rPr>
                <w:t>Ley de Creación de la Dirección General de Economía Agropecuaria de 1961</w:t>
              </w:r>
            </w:hyperlink>
          </w:p>
          <w:p w:rsidR="007E3278" w:rsidRDefault="006417EC">
            <w:pPr>
              <w:pStyle w:val="Prrafodelista"/>
              <w:numPr>
                <w:ilvl w:val="1"/>
                <w:numId w:val="16"/>
              </w:numPr>
              <w:spacing w:after="0" w:line="240" w:lineRule="auto"/>
            </w:pPr>
            <w:hyperlink r:id="rId11" w:tgtFrame="_blank">
              <w:r w:rsidR="00C22761">
                <w:rPr>
                  <w:rStyle w:val="ListLabel159"/>
                </w:rPr>
                <w:t>Ley de Protección y Promoción del Bienestar de Animales de Compañía</w:t>
              </w:r>
            </w:hyperlink>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t>Ley de Inspección Sanitaria de la Carne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y Desarrollo Ganadero con reformas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Conservación de la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Desarrollo y Protección Social</w:t>
            </w:r>
          </w:p>
          <w:p w:rsidR="007E3278" w:rsidRDefault="00C22761">
            <w:pPr>
              <w:pStyle w:val="Prrafodelista"/>
              <w:numPr>
                <w:ilvl w:val="1"/>
                <w:numId w:val="16"/>
              </w:numPr>
              <w:spacing w:after="0" w:line="240" w:lineRule="auto"/>
              <w:rPr>
                <w:rFonts w:ascii="Times New Roman" w:hAnsi="Times New Roman" w:cs="Times New Roman"/>
              </w:rPr>
            </w:pPr>
            <w:r>
              <w:t>Ley del Vaso de Leche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Creación del Sistema Salvadoreño para la Calidad</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Agraria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Sobre Control de Pesticidas, Fertilizantes y Productos para Uso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Semillas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Riego y Avenamiento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Forestal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General de Ordenación y Promoción de Pesca y Acuicultura y su Reglamento de El Salvador</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Sanidad Vegetal y Animal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Reglamento Marcas y Fierros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Nacional de Pesca y Acuicultura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de Integración de Pesca y Acuicultura 2015-2025 POLIPESCA</w:t>
            </w:r>
          </w:p>
          <w:p w:rsidR="007E3278" w:rsidRDefault="007E3278">
            <w:pPr>
              <w:pStyle w:val="Prrafodelista"/>
              <w:numPr>
                <w:ilvl w:val="1"/>
                <w:numId w:val="16"/>
              </w:numPr>
              <w:spacing w:after="0" w:line="240" w:lineRule="auto"/>
              <w:rPr>
                <w:rFonts w:ascii="Times New Roman" w:hAnsi="Times New Roman" w:cs="Times New Roman"/>
              </w:rPr>
            </w:pP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 xml:space="preserve">Decreto Ejecutivo N° 57 julio de 2003 Reglamento para el establecimiento y manejo de </w:t>
            </w:r>
            <w:proofErr w:type="spellStart"/>
            <w:r>
              <w:rPr>
                <w:rFonts w:ascii="Times New Roman" w:hAnsi="Times New Roman" w:cs="Times New Roman"/>
              </w:rPr>
              <w:t>zoocriaderos</w:t>
            </w:r>
            <w:proofErr w:type="spellEnd"/>
            <w:r>
              <w:rPr>
                <w:rFonts w:ascii="Times New Roman" w:hAnsi="Times New Roman" w:cs="Times New Roman"/>
              </w:rPr>
              <w:t xml:space="preserve"> de especies de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Decreto N° 35 Reglamento Especial para Regular el Comercio Internacional de Especies Amenazadas de Fauna y Flora Silvestres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3.4  Estructura administrativa del MAG</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                                            Organigrama del MAG</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(Ver en anexo)</w:t>
            </w:r>
          </w:p>
          <w:p w:rsidR="008835C2" w:rsidRDefault="008835C2">
            <w:pPr>
              <w:spacing w:after="0" w:line="240" w:lineRule="auto"/>
              <w:jc w:val="center"/>
              <w:rPr>
                <w:rFonts w:ascii="Times New Roman" w:hAnsi="Times New Roman" w:cs="Times New Roman"/>
              </w:rPr>
            </w:pPr>
          </w:p>
          <w:p w:rsidR="008835C2" w:rsidRDefault="008835C2">
            <w:pPr>
              <w:spacing w:after="0" w:line="240" w:lineRule="auto"/>
              <w:jc w:val="center"/>
              <w:rPr>
                <w:rFonts w:ascii="Times New Roman" w:hAnsi="Times New Roman" w:cs="Times New Roman"/>
              </w:rPr>
            </w:pPr>
          </w:p>
          <w:p w:rsidR="008835C2" w:rsidRDefault="008835C2">
            <w:pPr>
              <w:spacing w:after="0" w:line="240" w:lineRule="auto"/>
              <w:jc w:val="center"/>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3.5       Gestión de documentos y Política de ingresos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Cada acción de transferencia será coordinada y supervisada para implementar dinámicas de trabajo eficientes que faciliten la recuperación de los documentos.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Los ingresos de documentos se efectúan por generación propia y transferencia a depósito central.</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3.6  </w:t>
            </w:r>
          </w:p>
          <w:p w:rsidR="007E3278" w:rsidRDefault="00C22761">
            <w:pPr>
              <w:spacing w:after="0" w:line="240" w:lineRule="auto"/>
              <w:rPr>
                <w:rFonts w:ascii="Times New Roman" w:hAnsi="Times New Roman" w:cs="Times New Roman"/>
              </w:rPr>
            </w:pPr>
            <w:r>
              <w:rPr>
                <w:rFonts w:ascii="Times New Roman" w:hAnsi="Times New Roman" w:cs="Times New Roman"/>
              </w:rPr>
              <w:t>Edificio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En 1996 se iniciaron los trabajos de construcción y el día viernes 19 de diciembre de 1997 fue la inauguración de las nuevas instalaciones del MAG que consta de cinco edificios y amplios parqueos, que fueron construidos por la empresa CONINCA S.A. de C.V., supervisada por C.P.K. consultores C.A. a través del contrato 6/95 BIRF, a un costo de ¢48,135,786.84,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3.7  </w:t>
            </w:r>
          </w:p>
          <w:p w:rsidR="007E3278" w:rsidRDefault="00C22761">
            <w:pPr>
              <w:spacing w:after="0" w:line="240" w:lineRule="auto"/>
              <w:rPr>
                <w:rFonts w:ascii="Times New Roman" w:hAnsi="Times New Roman" w:cs="Times New Roman"/>
              </w:rPr>
            </w:pPr>
            <w:r>
              <w:rPr>
                <w:rFonts w:ascii="Times New Roman" w:hAnsi="Times New Roman" w:cs="Times New Roman"/>
              </w:rPr>
              <w:t>Secciones y colecciones custodiadas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archivo está estructurado en 2 secciones con un volumen aproximado de 190.5 metros lineales de documentos cuyas fechas extremas de la documentación son desde 1989 hasta 2015.</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Esta información está clasificada en orden alfabético por asuntos</w:t>
            </w:r>
          </w:p>
          <w:tbl>
            <w:tblPr>
              <w:tblW w:w="7222" w:type="dxa"/>
              <w:tblInd w:w="3" w:type="dxa"/>
              <w:tblLook w:val="00A0" w:firstRow="1" w:lastRow="0" w:firstColumn="1" w:lastColumn="0" w:noHBand="0" w:noVBand="0"/>
            </w:tblPr>
            <w:tblGrid>
              <w:gridCol w:w="2407"/>
              <w:gridCol w:w="2407"/>
              <w:gridCol w:w="2408"/>
            </w:tblGrid>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Volumen</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20 metros lineales</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170.5 metros lineales</w:t>
                  </w:r>
                </w:p>
              </w:tc>
            </w:tr>
          </w:tbl>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el cuadro de clasificación se muestra la correspondencia de los diferentes sub fondos del MAG de los años 2014 y 2015</w:t>
            </w: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3.8 Instrumentos de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Default="009C58D4" w:rsidP="009C58D4">
            <w:pPr>
              <w:pStyle w:val="Prrafodelista"/>
              <w:spacing w:after="0" w:line="240" w:lineRule="auto"/>
              <w:rPr>
                <w:rFonts w:ascii="Times New Roman" w:hAnsi="Times New Roman" w:cs="Times New Roman"/>
              </w:rPr>
            </w:pP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guía del archivo general del MAG (2016) Santa Tecla 2016.</w:t>
            </w:r>
          </w:p>
          <w:p w:rsidR="009C58D4" w:rsidRDefault="009C58D4" w:rsidP="009C58D4">
            <w:pPr>
              <w:pStyle w:val="Prrafodelista"/>
              <w:spacing w:after="0" w:line="240" w:lineRule="auto"/>
              <w:rPr>
                <w:rFonts w:ascii="Times New Roman" w:hAnsi="Times New Roman" w:cs="Times New Roman"/>
              </w:rPr>
            </w:pP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catálogo documental (1989 -2016)</w:t>
            </w:r>
          </w:p>
          <w:p w:rsidR="009C58D4" w:rsidRDefault="009C58D4" w:rsidP="009C58D4">
            <w:pPr>
              <w:pStyle w:val="Prrafodelista"/>
              <w:spacing w:after="0" w:line="240" w:lineRule="auto"/>
              <w:rPr>
                <w:rFonts w:ascii="Times New Roman" w:hAnsi="Times New Roman" w:cs="Times New Roman"/>
              </w:rPr>
            </w:pP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inventarios de documentos de diferentes áreas, departamentos u oficinas.</w:t>
            </w:r>
          </w:p>
          <w:p w:rsidR="009C58D4" w:rsidRDefault="009C58D4" w:rsidP="009C58D4">
            <w:pPr>
              <w:pStyle w:val="Prrafodelista"/>
              <w:spacing w:after="0" w:line="240" w:lineRule="auto"/>
              <w:rPr>
                <w:rFonts w:ascii="Times New Roman" w:hAnsi="Times New Roman" w:cs="Times New Roman"/>
              </w:rPr>
            </w:pP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Cuadro de Clasificación del MAG. Y Organigrama (ver en anexo)</w:t>
            </w:r>
          </w:p>
          <w:p w:rsidR="007E3278" w:rsidRDefault="007E3278" w:rsidP="009C58D4">
            <w:pPr>
              <w:pStyle w:val="Prrafodelista"/>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9C58D4" w:rsidRDefault="009C58D4">
            <w:pPr>
              <w:spacing w:after="0" w:line="240" w:lineRule="auto"/>
              <w:rPr>
                <w:rFonts w:ascii="Times New Roman" w:hAnsi="Times New Roman" w:cs="Times New Roman"/>
              </w:rPr>
            </w:pPr>
          </w:p>
          <w:p w:rsidR="009C58D4" w:rsidRDefault="009C58D4">
            <w:pPr>
              <w:spacing w:after="0" w:line="240" w:lineRule="auto"/>
              <w:rPr>
                <w:rFonts w:ascii="Times New Roman" w:hAnsi="Times New Roman" w:cs="Times New Roman"/>
              </w:rPr>
            </w:pPr>
          </w:p>
          <w:p w:rsidR="009C58D4" w:rsidRDefault="009C58D4">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4</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ACCESO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4.1  Horarios de apertura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Archivo Central: </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7:30 a.m. a 12:00 m. y 12:40 p.m. a 3:30 p.m.</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Cerrado: Sábados y Domingos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Días de asueto y vacaciones </w:t>
            </w: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4.2  Condiciones y requisito para el uso y el acceso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La solicitud de Información se presenta a la Oficial de Información y Respuesta, en dicha solicitud se indica qué tipo de información se solicita. </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Oficial de información gestiona internamente con las diferentes instancias, dicha petición.</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Únicamente se requerirá autorización expresa del Oficial de Gestión Documental y Archivo a cargo  de la Unidad de Gestión Documental quien girara instrucciones al Archivo Central  para la consulta de:</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mal estado de conservación o en restauración.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proceso de clasificación y descripción.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-Fondos especiales (sellos, mapas, planos, manuscritos y otros).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-Originales que están disponibles o copia digital.</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Default="007E3278">
            <w:pPr>
              <w:spacing w:after="0" w:line="240" w:lineRule="auto"/>
              <w:jc w:val="both"/>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4.3</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Accesibilidad</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FB44AB" w:rsidRDefault="00FB44AB" w:rsidP="009C58D4">
            <w:pPr>
              <w:spacing w:after="0"/>
              <w:rPr>
                <w:rFonts w:ascii="Times New Roman" w:hAnsi="Times New Roman" w:cs="Times New Roman"/>
              </w:rPr>
            </w:pPr>
            <w:r>
              <w:rPr>
                <w:rFonts w:ascii="Times New Roman" w:hAnsi="Times New Roman" w:cs="Times New Roman"/>
              </w:rPr>
              <w:t>La ubicación de la infraestructura de la Oficina de  Información y Respuesta de MAG  se encuentra en:</w:t>
            </w:r>
          </w:p>
          <w:p w:rsidR="009C58D4" w:rsidRDefault="009C58D4" w:rsidP="00FB44AB">
            <w:pPr>
              <w:spacing w:after="0" w:line="240" w:lineRule="auto"/>
              <w:rPr>
                <w:rFonts w:ascii="Times New Roman" w:hAnsi="Times New Roman" w:cs="Times New Roman"/>
              </w:rPr>
            </w:pPr>
          </w:p>
          <w:p w:rsidR="00FB44AB" w:rsidRDefault="00FB44AB" w:rsidP="009C58D4">
            <w:pPr>
              <w:spacing w:after="0"/>
              <w:rPr>
                <w:rFonts w:ascii="Times New Roman" w:hAnsi="Times New Roman" w:cs="Times New Roman"/>
              </w:rPr>
            </w:pPr>
            <w:r>
              <w:rPr>
                <w:rFonts w:ascii="Times New Roman" w:hAnsi="Times New Roman" w:cs="Times New Roman"/>
              </w:rPr>
              <w:t>Final 1ª. Avenida Norte 13 calle oriente y  avenida Manual Gallardo. Santa Tecla, La Libertad. El Salvador.</w:t>
            </w: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9C58D4" w:rsidRDefault="009C58D4">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7E3278" w:rsidRDefault="007E3278">
            <w:pPr>
              <w:spacing w:after="0" w:line="240" w:lineRule="auto"/>
              <w:rPr>
                <w:rFonts w:ascii="Times New Roman" w:hAnsi="Times New Roman" w:cs="Times New Roman"/>
                <w:b/>
              </w:rPr>
            </w:pPr>
          </w:p>
          <w:p w:rsidR="007E3278" w:rsidRDefault="007E3278">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r>
              <w:rPr>
                <w:rFonts w:ascii="Times New Roman" w:hAnsi="Times New Roman" w:cs="Times New Roman"/>
                <w:b/>
                <w:noProof/>
                <w:lang w:eastAsia="es-SV"/>
              </w:rPr>
              <w:drawing>
                <wp:anchor distT="0" distB="0" distL="114300" distR="114300" simplePos="0" relativeHeight="251659776" behindDoc="0" locked="0" layoutInCell="1" allowOverlap="1">
                  <wp:simplePos x="0" y="0"/>
                  <wp:positionH relativeFrom="column">
                    <wp:posOffset>83185</wp:posOffset>
                  </wp:positionH>
                  <wp:positionV relativeFrom="paragraph">
                    <wp:posOffset>76835</wp:posOffset>
                  </wp:positionV>
                  <wp:extent cx="4572000" cy="4257675"/>
                  <wp:effectExtent l="1905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572000" cy="4257675"/>
                          </a:xfrm>
                          <a:prstGeom prst="rect">
                            <a:avLst/>
                          </a:prstGeom>
                        </pic:spPr>
                      </pic:pic>
                    </a:graphicData>
                  </a:graphic>
                </wp:anchor>
              </w:drawing>
            </w: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9C58D4" w:rsidRDefault="009C58D4">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b/>
              </w:rPr>
            </w:pPr>
            <w:r>
              <w:rPr>
                <w:rFonts w:ascii="Times New Roman" w:hAnsi="Times New Roman" w:cs="Times New Roman"/>
                <w:b/>
              </w:rPr>
              <w:t xml:space="preserve">Para de buses de transporte público.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rFonts w:ascii="Times New Roman" w:hAnsi="Times New Roman" w:cs="Times New Roman"/>
                    </w:rPr>
                  </w:pPr>
                  <w:r>
                    <w:rPr>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3" cstate="print"/>
                                <a:srcRect l="16292" t="30575" r="51590" b="14727"/>
                                <a:stretch>
                                  <a:fillRect/>
                                </a:stretch>
                              </pic:blipFill>
                              <pic:spPr bwMode="auto">
                                <a:xfrm>
                                  <a:off x="0" y="0"/>
                                  <a:ext cx="729615" cy="698500"/>
                                </a:xfrm>
                                <a:prstGeom prst="rect">
                                  <a:avLst/>
                                </a:prstGeom>
                              </pic:spPr>
                            </pic:pic>
                          </a:graphicData>
                        </a:graphic>
                      </wp:inline>
                    </w:drawing>
                  </w:r>
                </w:p>
                <w:p w:rsidR="007E3278" w:rsidRDefault="007E3278">
                  <w:pPr>
                    <w:spacing w:after="0" w:line="240" w:lineRule="auto"/>
                    <w:ind w:left="48"/>
                    <w:rPr>
                      <w:rFonts w:ascii="Times New Roman" w:hAnsi="Times New Roman" w:cs="Times New Roman"/>
                    </w:rPr>
                  </w:pP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Default="007E3278">
                  <w:pPr>
                    <w:spacing w:after="0" w:line="240" w:lineRule="auto"/>
                    <w:ind w:left="48"/>
                    <w:rPr>
                      <w:rFonts w:ascii="Times New Roman" w:hAnsi="Times New Roman" w:cs="Times New Roman"/>
                    </w:rPr>
                  </w:pPr>
                </w:p>
              </w:tc>
            </w:tr>
            <w:tr w:rsidR="007E3278">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lang w:eastAsia="es-SV"/>
                    </w:rPr>
                  </w:pPr>
                  <w:r>
                    <w:rPr>
                      <w:noProof/>
                      <w:lang w:eastAsia="es-SV"/>
                    </w:rPr>
                    <w:drawing>
                      <wp:inline distT="0" distB="0" distL="0" distR="0">
                        <wp:extent cx="723900" cy="723900"/>
                        <wp:effectExtent l="0" t="0" r="0" b="0"/>
                        <wp:docPr id="5"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4"/>
                                <a:stretch>
                                  <a:fillRect/>
                                </a:stretch>
                              </pic:blipFill>
                              <pic:spPr bwMode="auto">
                                <a:xfrm>
                                  <a:off x="0" y="0"/>
                                  <a:ext cx="723900" cy="723900"/>
                                </a:xfrm>
                                <a:prstGeom prst="rect">
                                  <a:avLst/>
                                </a:prstGeom>
                              </pic:spPr>
                            </pic:pic>
                          </a:graphicData>
                        </a:graphic>
                      </wp:inline>
                    </w:drawing>
                  </w: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7E3278">
                  <w:pPr>
                    <w:spacing w:after="0" w:line="240" w:lineRule="auto"/>
                    <w:ind w:left="48"/>
                    <w:rPr>
                      <w:rFonts w:ascii="Times New Roman" w:hAnsi="Times New Roman" w:cs="Times New Roman"/>
                    </w:rPr>
                  </w:pPr>
                </w:p>
                <w:p w:rsidR="007E3278" w:rsidRDefault="007E3278">
                  <w:pPr>
                    <w:spacing w:after="0" w:line="240" w:lineRule="auto"/>
                    <w:ind w:left="48"/>
                    <w:rPr>
                      <w:rFonts w:ascii="Times New Roman" w:hAnsi="Times New Roman" w:cs="Times New Roman"/>
                    </w:rPr>
                  </w:pPr>
                </w:p>
                <w:p w:rsidR="007E3278" w:rsidRDefault="00C22761">
                  <w:pPr>
                    <w:spacing w:after="0" w:line="240" w:lineRule="auto"/>
                    <w:ind w:left="48"/>
                    <w:rPr>
                      <w:rFonts w:ascii="Times New Roman" w:hAnsi="Times New Roman" w:cs="Times New Roman"/>
                    </w:rPr>
                  </w:pPr>
                  <w:r>
                    <w:rPr>
                      <w:rFonts w:ascii="Times New Roman" w:hAnsi="Times New Roman" w:cs="Times New Roman"/>
                    </w:rPr>
                    <w:t>Se cuenta con accesibilidad para discapacitados.</w:t>
                  </w:r>
                </w:p>
              </w:tc>
            </w:tr>
          </w:tbl>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noProof/>
                <w:lang w:eastAsia="es-SV"/>
              </w:rPr>
              <w:drawing>
                <wp:anchor distT="0" distB="0" distL="0" distR="0" simplePos="0" relativeHeight="251657728"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cstate="print"/>
                          <a:srcRect l="16292" t="30575" r="51590" b="14727"/>
                          <a:stretch>
                            <a:fillRect/>
                          </a:stretch>
                        </pic:blipFill>
                        <pic:spPr bwMode="auto">
                          <a:xfrm>
                            <a:off x="0" y="0"/>
                            <a:ext cx="207010" cy="198120"/>
                          </a:xfrm>
                          <a:prstGeom prst="rect">
                            <a:avLst/>
                          </a:prstGeom>
                        </pic:spPr>
                      </pic:pic>
                    </a:graphicData>
                  </a:graphic>
                </wp:anchor>
              </w:drawing>
            </w:r>
            <w:r>
              <w:rPr>
                <w:noProof/>
                <w:lang w:eastAsia="es-SV"/>
              </w:rPr>
              <w:drawing>
                <wp:inline distT="0" distB="3810" distL="0" distR="0">
                  <wp:extent cx="4343400" cy="2644775"/>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6"/>
                          <a:srcRect l="25566" t="7012" r="7337" b="20354"/>
                          <a:stretch>
                            <a:fillRect/>
                          </a:stretch>
                        </pic:blipFill>
                        <pic:spPr bwMode="auto">
                          <a:xfrm>
                            <a:off x="0" y="0"/>
                            <a:ext cx="4343400" cy="2644775"/>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p w:rsidR="009C58D4" w:rsidRDefault="009C58D4">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b/>
              </w:rPr>
            </w:pPr>
            <w:r>
              <w:rPr>
                <w:rFonts w:ascii="Times New Roman" w:hAnsi="Times New Roman" w:cs="Times New Roman"/>
                <w:b/>
              </w:rPr>
              <w:t>Sitio web de Ubicación de Información</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Consulte en el sitio web de MAG  http: //www.mag.gob.sv.</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7E3278" w:rsidRDefault="007E3278">
            <w:pPr>
              <w:spacing w:after="0" w:line="240" w:lineRule="auto"/>
              <w:rPr>
                <w:rFonts w:ascii="Times New Roman" w:hAnsi="Times New Roman" w:cs="Times New Roman"/>
              </w:rPr>
            </w:pPr>
          </w:p>
          <w:p w:rsidR="007E3278" w:rsidRDefault="00DF2F3A">
            <w:pPr>
              <w:spacing w:after="0" w:line="240" w:lineRule="auto"/>
              <w:rPr>
                <w:rFonts w:ascii="Times New Roman" w:hAnsi="Times New Roman" w:cs="Times New Roman"/>
              </w:rPr>
            </w:pPr>
            <w:r>
              <w:rPr>
                <w:rFonts w:ascii="Times New Roman" w:hAnsi="Times New Roman" w:cs="Times New Roman"/>
                <w:noProof/>
                <w:lang w:eastAsia="es-SV"/>
              </w:rPr>
              <w:drawing>
                <wp:inline distT="0" distB="0" distL="0" distR="0" wp14:anchorId="542061A2">
                  <wp:extent cx="4486939" cy="25411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9339" cy="2542540"/>
                          </a:xfrm>
                          <a:prstGeom prst="rect">
                            <a:avLst/>
                          </a:prstGeom>
                          <a:noFill/>
                        </pic:spPr>
                      </pic:pic>
                    </a:graphicData>
                  </a:graphic>
                </wp:inline>
              </w:drawing>
            </w:r>
          </w:p>
          <w:p w:rsidR="007E3278" w:rsidRDefault="007E3278">
            <w:pPr>
              <w:spacing w:after="0" w:line="240" w:lineRule="auto"/>
              <w:jc w:val="center"/>
              <w:rPr>
                <w:rFonts w:ascii="Times New Roman" w:hAnsi="Times New Roman" w:cs="Times New Roman"/>
              </w:rPr>
            </w:pPr>
          </w:p>
          <w:p w:rsidR="007E3278" w:rsidRDefault="00DF2F3A">
            <w:pPr>
              <w:spacing w:after="0" w:line="240" w:lineRule="auto"/>
              <w:rPr>
                <w:rFonts w:ascii="Times New Roman" w:hAnsi="Times New Roman" w:cs="Times New Roman"/>
              </w:rPr>
            </w:pPr>
            <w:r>
              <w:rPr>
                <w:rFonts w:ascii="Times New Roman" w:hAnsi="Times New Roman" w:cs="Times New Roman"/>
                <w:noProof/>
                <w:lang w:eastAsia="es-SV"/>
              </w:rPr>
              <w:drawing>
                <wp:inline distT="0" distB="0" distL="0" distR="0" wp14:anchorId="7CCF2871">
                  <wp:extent cx="4486939" cy="24880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1739" cy="2490680"/>
                          </a:xfrm>
                          <a:prstGeom prst="rect">
                            <a:avLst/>
                          </a:prstGeom>
                          <a:noFill/>
                        </pic:spPr>
                      </pic:pic>
                    </a:graphicData>
                  </a:graphic>
                </wp:inline>
              </w:drawing>
            </w:r>
          </w:p>
          <w:p w:rsidR="007E3278" w:rsidRDefault="007E3278">
            <w:pPr>
              <w:spacing w:after="0" w:line="240" w:lineRule="auto"/>
              <w:rPr>
                <w:rFonts w:ascii="Times New Roman" w:hAnsi="Times New Roman" w:cs="Times New Roman"/>
              </w:rPr>
            </w:pPr>
          </w:p>
          <w:p w:rsidR="008835C2" w:rsidRDefault="008835C2">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5</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SERVICIOS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5.1  Servicios de ayuda a la </w:t>
            </w:r>
            <w:r>
              <w:rPr>
                <w:rFonts w:ascii="Times New Roman" w:hAnsi="Times New Roman" w:cs="Times New Roman"/>
              </w:rPr>
              <w:lastRenderedPageBreak/>
              <w:t xml:space="preserve">investigación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El Archivo a través de las solicitudes dirigidas a la Oficina de  Información y Respuesta facilita el asesoramiento en la búsqueda y localización de documentos: </w:t>
            </w:r>
            <w:r>
              <w:rPr>
                <w:rFonts w:ascii="Times New Roman" w:hAnsi="Times New Roman" w:cs="Times New Roman"/>
              </w:rPr>
              <w:lastRenderedPageBreak/>
              <w:t>brinda una orientación inmediata y personalizada al investigador sobre los fondos documentales del archivo, así como la respectiva sugerencia y remisión a otros archivos como fuentes de investigación.</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 través del Oficial de Información se resuelven las consultas por correo electrónico y toda aquella solicitud de información la cual tendrá una resolución y tiempo de respuesta.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rPr>
                <w:rFonts w:ascii="Times New Roman" w:hAnsi="Times New Roman" w:cs="Times New Roman"/>
              </w:rPr>
            </w:pPr>
            <w:r>
              <w:rPr>
                <w:rFonts w:ascii="Times New Roman" w:hAnsi="Times New Roman" w:cs="Times New Roman"/>
              </w:rPr>
              <w:lastRenderedPageBreak/>
              <w:t>5.2 Servicios de reproducción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jc w:val="both"/>
              <w:rPr>
                <w:rFonts w:ascii="Times New Roman" w:hAnsi="Times New Roman" w:cs="Times New Roman"/>
              </w:rPr>
            </w:pPr>
            <w:r>
              <w:rPr>
                <w:rFonts w:ascii="Times New Roman" w:hAnsi="Times New Roman" w:cs="Times New Roman"/>
              </w:rPr>
              <w:t>La OIR ofrece la reproducción de sus fondos documentales por medios electrónicos.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5.3 Espacios </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      Públicos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Dentro de las instalaciones del MAG se cuenta con baños (ambos sexos) para las personas que consultan y visitan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6</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CONTROL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6.1 Identificación  de la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6.2 Identificador</w:t>
            </w:r>
          </w:p>
          <w:p w:rsidR="007E3278" w:rsidRDefault="00C22761">
            <w:pPr>
              <w:spacing w:after="0" w:line="240" w:lineRule="auto"/>
              <w:rPr>
                <w:rFonts w:ascii="Times New Roman" w:hAnsi="Times New Roman" w:cs="Times New Roman"/>
              </w:rPr>
            </w:pPr>
            <w:r>
              <w:rPr>
                <w:rFonts w:ascii="Times New Roman" w:hAnsi="Times New Roman" w:cs="Times New Roman"/>
              </w:rPr>
              <w:t>de la</w:t>
            </w:r>
          </w:p>
          <w:p w:rsidR="007E3278" w:rsidRDefault="00C22761">
            <w:pPr>
              <w:spacing w:after="0" w:line="240" w:lineRule="auto"/>
              <w:rPr>
                <w:rFonts w:ascii="Times New Roman" w:hAnsi="Times New Roman" w:cs="Times New Roman"/>
              </w:rPr>
            </w:pPr>
            <w:r>
              <w:rPr>
                <w:rFonts w:ascii="Times New Roman" w:hAnsi="Times New Roman" w:cs="Times New Roman"/>
              </w:rPr>
              <w:t>Institución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6.3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Notas de      Mantenimiento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de Documental y Archivo </w:t>
            </w:r>
          </w:p>
        </w:tc>
      </w:tr>
    </w:tbl>
    <w:p w:rsidR="007E3278" w:rsidRDefault="007E3278">
      <w:pPr>
        <w:spacing w:after="0"/>
        <w:rPr>
          <w:rFonts w:ascii="Times New Roman" w:hAnsi="Times New Roman" w:cs="Times New Roman"/>
          <w:color w:val="002060"/>
          <w:sz w:val="40"/>
          <w:szCs w:val="40"/>
        </w:rPr>
      </w:pPr>
    </w:p>
    <w:p w:rsidR="007E3278" w:rsidRPr="00C529B2" w:rsidRDefault="00C22761">
      <w:pPr>
        <w:spacing w:after="0" w:line="240" w:lineRule="auto"/>
        <w:jc w:val="both"/>
        <w:rPr>
          <w:rFonts w:ascii="Times New Roman" w:hAnsi="Times New Roman" w:cs="Times New Roman"/>
          <w:lang w:val="es-ES"/>
        </w:rPr>
      </w:pPr>
      <w:r w:rsidRPr="00C529B2">
        <w:rPr>
          <w:rFonts w:ascii="Times New Roman" w:hAnsi="Times New Roman" w:cs="Times New Roman"/>
          <w:lang w:val="es-ES"/>
        </w:rPr>
        <w:t>Documentos de Referencia:</w:t>
      </w:r>
    </w:p>
    <w:p w:rsidR="007E3278" w:rsidRPr="00C529B2" w:rsidRDefault="00C22761">
      <w:pPr>
        <w:numPr>
          <w:ilvl w:val="0"/>
          <w:numId w:val="20"/>
        </w:numPr>
        <w:spacing w:after="0" w:line="240" w:lineRule="auto"/>
        <w:jc w:val="both"/>
        <w:rPr>
          <w:rFonts w:ascii="Times New Roman" w:hAnsi="Times New Roman" w:cs="Times New Roman"/>
          <w:lang w:val="es-ES"/>
        </w:rPr>
      </w:pPr>
      <w:r w:rsidRPr="00C529B2">
        <w:rPr>
          <w:rFonts w:ascii="Times New Roman" w:hAnsi="Times New Roman" w:cs="Times New Roman"/>
          <w:lang w:val="es-ES"/>
        </w:rPr>
        <w:t>Ley de Acceso a la Información Pública</w:t>
      </w:r>
    </w:p>
    <w:p w:rsidR="007E3278" w:rsidRPr="00C529B2" w:rsidRDefault="00C22761">
      <w:pPr>
        <w:numPr>
          <w:ilvl w:val="0"/>
          <w:numId w:val="20"/>
        </w:numPr>
        <w:spacing w:after="0" w:line="240" w:lineRule="auto"/>
        <w:jc w:val="both"/>
        <w:rPr>
          <w:rFonts w:ascii="Times New Roman" w:hAnsi="Times New Roman" w:cs="Times New Roman"/>
          <w:lang w:val="es-ES"/>
        </w:rPr>
      </w:pPr>
      <w:r w:rsidRPr="00C529B2">
        <w:rPr>
          <w:rFonts w:ascii="Times New Roman" w:hAnsi="Times New Roman" w:cs="Times New Roman"/>
          <w:lang w:val="es-ES"/>
        </w:rPr>
        <w:t>Normativa Nacional de Archivo</w:t>
      </w:r>
    </w:p>
    <w:p w:rsidR="007E3278" w:rsidRPr="00C529B2" w:rsidRDefault="00C22761">
      <w:pPr>
        <w:numPr>
          <w:ilvl w:val="0"/>
          <w:numId w:val="20"/>
        </w:numPr>
        <w:spacing w:after="0" w:line="240" w:lineRule="auto"/>
        <w:contextualSpacing/>
        <w:jc w:val="both"/>
        <w:rPr>
          <w:rFonts w:ascii="Times New Roman" w:hAnsi="Times New Roman" w:cs="Times New Roman"/>
          <w:lang w:val="es-ES"/>
        </w:rPr>
      </w:pPr>
      <w:r w:rsidRPr="00C529B2">
        <w:rPr>
          <w:rFonts w:ascii="Times New Roman" w:hAnsi="Times New Roman" w:cs="Times New Roman"/>
          <w:lang w:val="es-ES"/>
        </w:rPr>
        <w:t>ISDIAH. Norma internacional para describir instituciones que custodian fondos de archivo</w:t>
      </w:r>
      <w:r w:rsidRPr="00C529B2">
        <w:rPr>
          <w:rFonts w:ascii="Times New Roman" w:hAnsi="Times New Roman" w:cs="Times New Roman"/>
        </w:rPr>
        <w:br w:type="page"/>
      </w:r>
    </w:p>
    <w:p w:rsidR="007E3278" w:rsidRDefault="00C22761">
      <w:pPr>
        <w:spacing w:after="0"/>
        <w:jc w:val="center"/>
      </w:pPr>
      <w:r>
        <w:rPr>
          <w:rFonts w:ascii="Times New Roman" w:hAnsi="Times New Roman" w:cs="Times New Roman"/>
          <w:noProof/>
          <w:color w:val="002060"/>
          <w:sz w:val="40"/>
          <w:szCs w:val="40"/>
          <w:lang w:eastAsia="es-SV"/>
        </w:rPr>
        <w:lastRenderedPageBreak/>
        <w:drawing>
          <wp:anchor distT="0" distB="0" distL="114300" distR="114300" simplePos="0" relativeHeight="251656704" behindDoc="0" locked="0" layoutInCell="1" allowOverlap="1">
            <wp:simplePos x="0" y="0"/>
            <wp:positionH relativeFrom="column">
              <wp:posOffset>-326602</wp:posOffset>
            </wp:positionH>
            <wp:positionV relativeFrom="paragraph">
              <wp:posOffset>814916</wp:posOffset>
            </wp:positionV>
            <wp:extent cx="6561667" cy="5503333"/>
            <wp:effectExtent l="0" t="0" r="0" b="0"/>
            <wp:wrapNone/>
            <wp:docPr id="1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6"/>
                    <pic:cNvPicPr>
                      <a:picLocks noChangeAspect="1" noChangeArrowheads="1"/>
                    </pic:cNvPicPr>
                  </pic:nvPicPr>
                  <pic:blipFill>
                    <a:blip r:embed="rId19"/>
                    <a:srcRect r="31519"/>
                    <a:stretch>
                      <a:fillRect/>
                    </a:stretch>
                  </pic:blipFill>
                  <pic:spPr bwMode="auto">
                    <a:xfrm>
                      <a:off x="0" y="0"/>
                      <a:ext cx="6564109" cy="5505381"/>
                    </a:xfrm>
                    <a:prstGeom prst="rect">
                      <a:avLst/>
                    </a:prstGeom>
                  </pic:spPr>
                </pic:pic>
              </a:graphicData>
            </a:graphic>
          </wp:anchor>
        </w:drawing>
      </w:r>
      <w:r>
        <w:rPr>
          <w:rFonts w:ascii="Times New Roman" w:hAnsi="Times New Roman" w:cs="Times New Roman"/>
          <w:color w:val="002060"/>
          <w:sz w:val="40"/>
          <w:szCs w:val="40"/>
        </w:rPr>
        <w:t>ORGANIGRAMA</w:t>
      </w:r>
    </w:p>
    <w:sectPr w:rsidR="007E3278" w:rsidSect="004F66EC">
      <w:headerReference w:type="default" r:id="rId20"/>
      <w:footerReference w:type="default" r:id="rId21"/>
      <w:pgSz w:w="12240" w:h="15840"/>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EC" w:rsidRDefault="006417EC">
      <w:pPr>
        <w:spacing w:after="0" w:line="240" w:lineRule="auto"/>
      </w:pPr>
      <w:r>
        <w:separator/>
      </w:r>
    </w:p>
  </w:endnote>
  <w:endnote w:type="continuationSeparator" w:id="0">
    <w:p w:rsidR="006417EC" w:rsidRDefault="0064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embo Std">
    <w:altName w:val="Times New Roman"/>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750898"/>
      <w:docPartObj>
        <w:docPartGallery w:val="Page Numbers (Top of Page)"/>
        <w:docPartUnique/>
      </w:docPartObj>
    </w:sdtPr>
    <w:sdtEndPr/>
    <w:sdtContent>
      <w:p w:rsidR="007E3278" w:rsidRDefault="00C22761">
        <w:pPr>
          <w:pStyle w:val="Piedepgina"/>
          <w:jc w:val="right"/>
        </w:pPr>
        <w:r>
          <w:rPr>
            <w:lang w:val="es-ES"/>
          </w:rPr>
          <w:t xml:space="preserve">Página </w:t>
        </w:r>
        <w:r w:rsidR="00957ABC">
          <w:rPr>
            <w:b/>
            <w:bCs/>
            <w:sz w:val="24"/>
            <w:szCs w:val="24"/>
          </w:rPr>
          <w:fldChar w:fldCharType="begin"/>
        </w:r>
        <w:r>
          <w:rPr>
            <w:b/>
            <w:bCs/>
            <w:sz w:val="24"/>
            <w:szCs w:val="24"/>
          </w:rPr>
          <w:instrText>PAGE</w:instrText>
        </w:r>
        <w:r w:rsidR="00957ABC">
          <w:rPr>
            <w:b/>
            <w:bCs/>
            <w:sz w:val="24"/>
            <w:szCs w:val="24"/>
          </w:rPr>
          <w:fldChar w:fldCharType="separate"/>
        </w:r>
        <w:r w:rsidR="00181067">
          <w:rPr>
            <w:b/>
            <w:bCs/>
            <w:noProof/>
            <w:sz w:val="24"/>
            <w:szCs w:val="24"/>
          </w:rPr>
          <w:t>1</w:t>
        </w:r>
        <w:r w:rsidR="00957ABC">
          <w:rPr>
            <w:b/>
            <w:bCs/>
            <w:sz w:val="24"/>
            <w:szCs w:val="24"/>
          </w:rPr>
          <w:fldChar w:fldCharType="end"/>
        </w:r>
        <w:r>
          <w:rPr>
            <w:lang w:val="es-ES"/>
          </w:rPr>
          <w:t xml:space="preserve"> de </w:t>
        </w:r>
        <w:r w:rsidR="00957ABC">
          <w:rPr>
            <w:b/>
            <w:bCs/>
            <w:sz w:val="24"/>
            <w:szCs w:val="24"/>
          </w:rPr>
          <w:fldChar w:fldCharType="begin"/>
        </w:r>
        <w:r>
          <w:rPr>
            <w:b/>
            <w:bCs/>
            <w:sz w:val="24"/>
            <w:szCs w:val="24"/>
          </w:rPr>
          <w:instrText>NUMPAGES</w:instrText>
        </w:r>
        <w:r w:rsidR="00957ABC">
          <w:rPr>
            <w:b/>
            <w:bCs/>
            <w:sz w:val="24"/>
            <w:szCs w:val="24"/>
          </w:rPr>
          <w:fldChar w:fldCharType="separate"/>
        </w:r>
        <w:r w:rsidR="00181067">
          <w:rPr>
            <w:b/>
            <w:bCs/>
            <w:noProof/>
            <w:sz w:val="24"/>
            <w:szCs w:val="24"/>
          </w:rPr>
          <w:t>18</w:t>
        </w:r>
        <w:r w:rsidR="00957ABC">
          <w:rPr>
            <w:b/>
            <w:bCs/>
            <w:sz w:val="24"/>
            <w:szCs w:val="24"/>
          </w:rPr>
          <w:fldChar w:fldCharType="end"/>
        </w:r>
      </w:p>
    </w:sdtContent>
  </w:sdt>
  <w:p w:rsidR="007E3278" w:rsidRDefault="007E32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EC" w:rsidRDefault="006417EC">
      <w:pPr>
        <w:spacing w:after="0" w:line="240" w:lineRule="auto"/>
      </w:pPr>
      <w:r>
        <w:separator/>
      </w:r>
    </w:p>
  </w:footnote>
  <w:footnote w:type="continuationSeparator" w:id="0">
    <w:p w:rsidR="006417EC" w:rsidRDefault="00641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78" w:rsidRDefault="00FA0D8E">
    <w:pPr>
      <w:pStyle w:val="Encabezado"/>
    </w:pPr>
    <w:r>
      <w:rPr>
        <w:noProof/>
        <w:lang w:eastAsia="es-SV"/>
      </w:rPr>
      <w:drawing>
        <wp:anchor distT="0" distB="0" distL="114300" distR="114300" simplePos="0" relativeHeight="251658240" behindDoc="1" locked="0" layoutInCell="1" allowOverlap="1">
          <wp:simplePos x="0" y="0"/>
          <wp:positionH relativeFrom="column">
            <wp:posOffset>-24765</wp:posOffset>
          </wp:positionH>
          <wp:positionV relativeFrom="paragraph">
            <wp:posOffset>160020</wp:posOffset>
          </wp:positionV>
          <wp:extent cx="2284730" cy="899160"/>
          <wp:effectExtent l="19050" t="0" r="127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284730" cy="899160"/>
                  </a:xfrm>
                  <a:prstGeom prst="rect">
                    <a:avLst/>
                  </a:prstGeom>
                </pic:spPr>
              </pic:pic>
            </a:graphicData>
          </a:graphic>
        </wp:anchor>
      </w:drawing>
    </w:r>
  </w:p>
  <w:p w:rsidR="007E3278" w:rsidRDefault="007E3278">
    <w:pPr>
      <w:pStyle w:val="Encabezado"/>
    </w:pPr>
  </w:p>
  <w:p w:rsidR="007E3278" w:rsidRDefault="007E3278">
    <w:pPr>
      <w:pStyle w:val="Encabezado"/>
    </w:pPr>
  </w:p>
  <w:p w:rsidR="007E3278" w:rsidRDefault="007E3278">
    <w:pPr>
      <w:pStyle w:val="Encabezado"/>
      <w:tabs>
        <w:tab w:val="left" w:pos="2932"/>
      </w:tabs>
      <w:rPr>
        <w:b/>
        <w:sz w:val="16"/>
        <w:szCs w:val="16"/>
      </w:rPr>
    </w:pPr>
  </w:p>
  <w:p w:rsidR="007E3278" w:rsidRDefault="007E3278">
    <w:pPr>
      <w:pStyle w:val="Encabezado"/>
      <w:tabs>
        <w:tab w:val="left" w:pos="2932"/>
        <w:tab w:val="left" w:pos="6669"/>
      </w:tabs>
      <w:rPr>
        <w:b/>
        <w:sz w:val="16"/>
        <w:szCs w:val="16"/>
      </w:rPr>
    </w:pPr>
  </w:p>
  <w:p w:rsidR="007E3278" w:rsidRDefault="00C22761">
    <w:pPr>
      <w:pStyle w:val="Encabezado"/>
      <w:tabs>
        <w:tab w:val="left" w:pos="2932"/>
        <w:tab w:val="left" w:pos="6669"/>
      </w:tabs>
      <w:rPr>
        <w:b/>
        <w:sz w:val="16"/>
        <w:szCs w:val="16"/>
      </w:rPr>
    </w:pPr>
    <w:r>
      <w:rPr>
        <w:b/>
        <w:sz w:val="16"/>
        <w:szCs w:val="16"/>
      </w:rPr>
      <w:tab/>
    </w:r>
  </w:p>
  <w:p w:rsidR="007E3278" w:rsidRDefault="007E3278">
    <w:pPr>
      <w:pStyle w:val="Encabezado"/>
      <w:tabs>
        <w:tab w:val="left" w:pos="2932"/>
      </w:tabs>
      <w:jc w:val="center"/>
      <w:rPr>
        <w:b/>
        <w:sz w:val="16"/>
        <w:szCs w:val="16"/>
      </w:rPr>
    </w:pPr>
  </w:p>
  <w:p w:rsidR="00FA0D8E" w:rsidRDefault="00FA0D8E">
    <w:pPr>
      <w:pStyle w:val="Encabezado"/>
      <w:tabs>
        <w:tab w:val="left" w:pos="2932"/>
      </w:tabs>
      <w:jc w:val="center"/>
      <w:rPr>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3278"/>
    <w:rsid w:val="00061FF7"/>
    <w:rsid w:val="000C2CE9"/>
    <w:rsid w:val="00181067"/>
    <w:rsid w:val="001F48B4"/>
    <w:rsid w:val="003D5F37"/>
    <w:rsid w:val="004C6EC4"/>
    <w:rsid w:val="004F66EC"/>
    <w:rsid w:val="005E7579"/>
    <w:rsid w:val="006417EC"/>
    <w:rsid w:val="00750D38"/>
    <w:rsid w:val="007E3278"/>
    <w:rsid w:val="008835C2"/>
    <w:rsid w:val="008A6AFD"/>
    <w:rsid w:val="00957ABC"/>
    <w:rsid w:val="00994298"/>
    <w:rsid w:val="009C58D4"/>
    <w:rsid w:val="00C22761"/>
    <w:rsid w:val="00C529B2"/>
    <w:rsid w:val="00CF2705"/>
    <w:rsid w:val="00D61594"/>
    <w:rsid w:val="00DF2F3A"/>
    <w:rsid w:val="00FA0D8E"/>
    <w:rsid w:val="00FB44AB"/>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Pr>
      <w:rFonts w:ascii="Times New Roman" w:hAnsi="Times New Roman"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imes New Roman" w:hAnsi="Times New Roman" w:cs="Symbol"/>
      <w:color w:val="auto"/>
      <w:sz w:val="24"/>
      <w:szCs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imes New Roman" w:hAnsi="Times New Roman" w:cs="Symbol"/>
      <w:color w:val="auto"/>
      <w:sz w:val="24"/>
      <w:szCs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Times New Roman" w:hAnsi="Times New Roman" w:cs="Symbol"/>
      <w:color w:val="auto"/>
      <w:sz w:val="24"/>
      <w:szCs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imes New Roman" w:hAnsi="Times New Roman"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ascii="Times New Roman" w:hAnsi="Times New Roman" w:cs="Symbol"/>
      <w:color w:val="auto"/>
      <w:sz w:val="24"/>
      <w:szCs w:val="24"/>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Symbol"/>
      <w:color w:val="auto"/>
      <w:sz w:val="24"/>
      <w:szCs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color w:val="auto"/>
      <w:sz w:val="24"/>
      <w:szCs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Times New Roman" w:hAnsi="Times New Roman" w:cs="Symbol"/>
      <w:color w:val="auto"/>
      <w:sz w:val="24"/>
      <w:szCs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Symbol"/>
      <w:color w:val="auto"/>
      <w:sz w:val="24"/>
      <w:szCs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Times New Roman" w:hAnsi="Times New Roman"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color w:val="auto"/>
      <w:sz w:val="24"/>
      <w:szCs w:val="24"/>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Symbol"/>
      <w:color w:val="auto"/>
      <w:sz w:val="24"/>
      <w:szCs w:val="24"/>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imes New Roman" w:hAnsi="Times New Roman" w:cs="Symbol"/>
      <w:color w:val="auto"/>
      <w:sz w:val="24"/>
      <w:szCs w:val="24"/>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ascii="Times New Roman" w:hAnsi="Times New Roman" w:cs="Symbol"/>
      <w:color w:val="auto"/>
      <w:sz w:val="24"/>
      <w:szCs w:val="24"/>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ascii="Times New Roman" w:hAnsi="Times New Roman" w:cs="Times New Roman"/>
    </w:rPr>
  </w:style>
  <w:style w:type="character" w:customStyle="1" w:styleId="ListLabel159">
    <w:name w:val="ListLabel 159"/>
    <w:qFormat/>
    <w:rPr>
      <w:rFonts w:ascii="Times New Roman" w:hAnsi="Times New Roman" w:cs="Times New Roman"/>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transparencia.gob.sv/institutions/mag/documents/89198/download"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A9AF0-14F4-48AE-902E-51878224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3626</Words>
  <Characters>19944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Ana Patricia Sanchez Cruz</cp:lastModifiedBy>
  <cp:revision>11</cp:revision>
  <cp:lastPrinted>2020-02-07T16:24:00Z</cp:lastPrinted>
  <dcterms:created xsi:type="dcterms:W3CDTF">2019-10-08T22:32:00Z</dcterms:created>
  <dcterms:modified xsi:type="dcterms:W3CDTF">2020-02-07T16:24:00Z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