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C08C" w14:textId="77777777" w:rsidR="00121F39" w:rsidRDefault="00121F39" w:rsidP="00121F39">
      <w:pPr>
        <w:pStyle w:val="xxmsoplaintext"/>
        <w:shd w:val="clear" w:color="auto" w:fill="FFFFFF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E95E64E" wp14:editId="37B12E0E">
            <wp:simplePos x="0" y="0"/>
            <wp:positionH relativeFrom="margin">
              <wp:posOffset>1948815</wp:posOffset>
            </wp:positionH>
            <wp:positionV relativeFrom="margin">
              <wp:posOffset>114300</wp:posOffset>
            </wp:positionV>
            <wp:extent cx="1712595" cy="895350"/>
            <wp:effectExtent l="0" t="0" r="1905" b="0"/>
            <wp:wrapSquare wrapText="bothSides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A9288" w14:textId="77777777" w:rsidR="00121F39" w:rsidRDefault="00121F39" w:rsidP="00121F39">
      <w:pPr>
        <w:pStyle w:val="xxmsoplaintext"/>
        <w:shd w:val="clear" w:color="auto" w:fill="FFFFFF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</w:pPr>
    </w:p>
    <w:p w14:paraId="5E942373" w14:textId="77777777" w:rsidR="00121F39" w:rsidRDefault="00121F39" w:rsidP="00121F39">
      <w:pPr>
        <w:pStyle w:val="xxmsoplaintext"/>
        <w:shd w:val="clear" w:color="auto" w:fill="FFFFFF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</w:rPr>
      </w:pPr>
    </w:p>
    <w:p w14:paraId="7420EDE2" w14:textId="77777777" w:rsidR="00121F39" w:rsidRDefault="00121F39" w:rsidP="00121F39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</w:p>
    <w:p w14:paraId="2E52E1A7" w14:textId="77777777" w:rsidR="00121F39" w:rsidRDefault="00121F39" w:rsidP="00121F39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</w:p>
    <w:p w14:paraId="3CA78289" w14:textId="77777777" w:rsidR="00121F39" w:rsidRDefault="00121F39" w:rsidP="00121F39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</w:p>
    <w:p w14:paraId="01478476" w14:textId="77777777" w:rsidR="00121F39" w:rsidRPr="00497569" w:rsidRDefault="00121F39" w:rsidP="00121F39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  <w:r w:rsidRPr="007D6EEC">
        <w:rPr>
          <w:rFonts w:ascii="Museo 300" w:eastAsia="Calibri" w:hAnsi="Museo 300" w:cs="Times New Roman"/>
          <w:bCs/>
        </w:rPr>
        <w:t>Dirección</w:t>
      </w:r>
      <w:r w:rsidRPr="00497569">
        <w:rPr>
          <w:rFonts w:ascii="Museo 300" w:eastAsia="Calibri" w:hAnsi="Museo 300" w:cs="Times New Roman"/>
          <w:bCs/>
        </w:rPr>
        <w:t xml:space="preserve"> General de Seguridad Hídrica </w:t>
      </w:r>
    </w:p>
    <w:p w14:paraId="2FB1494F" w14:textId="77777777" w:rsidR="00121F39" w:rsidRPr="00497569" w:rsidRDefault="00121F39" w:rsidP="00121F39">
      <w:pPr>
        <w:spacing w:after="0" w:line="276" w:lineRule="auto"/>
        <w:jc w:val="center"/>
        <w:rPr>
          <w:rFonts w:ascii="Museo 300" w:eastAsia="Calibri" w:hAnsi="Museo 300" w:cs="Times New Roman"/>
          <w:bCs/>
        </w:rPr>
      </w:pPr>
      <w:r w:rsidRPr="00497569">
        <w:rPr>
          <w:rFonts w:ascii="Museo 300" w:eastAsia="Calibri" w:hAnsi="Museo 300" w:cs="Times New Roman"/>
          <w:bCs/>
        </w:rPr>
        <w:t>Gerencia de Desechos Sólidos y Peligrosos</w:t>
      </w:r>
    </w:p>
    <w:p w14:paraId="3F561625" w14:textId="77777777" w:rsidR="00121F39" w:rsidRPr="00497569" w:rsidRDefault="00121F39" w:rsidP="00121F39">
      <w:pPr>
        <w:spacing w:after="0" w:line="276" w:lineRule="auto"/>
        <w:rPr>
          <w:rFonts w:ascii="Museo 300" w:eastAsia="Calibri" w:hAnsi="Museo 300" w:cs="Times New Roman"/>
          <w:b/>
          <w:bCs/>
        </w:rPr>
      </w:pPr>
    </w:p>
    <w:p w14:paraId="649C627E" w14:textId="77777777" w:rsidR="00121F39" w:rsidRPr="00497569" w:rsidRDefault="00121F39" w:rsidP="00121F39">
      <w:pPr>
        <w:spacing w:after="200" w:line="276" w:lineRule="auto"/>
        <w:rPr>
          <w:rFonts w:ascii="Museo 300" w:eastAsia="Calibri" w:hAnsi="Museo 300" w:cs="Times New Roman"/>
          <w:b/>
          <w:bCs/>
        </w:rPr>
      </w:pPr>
    </w:p>
    <w:p w14:paraId="5E7B6439" w14:textId="630E9095" w:rsidR="00121F39" w:rsidRPr="00497569" w:rsidRDefault="00121F39" w:rsidP="00121F39">
      <w:pPr>
        <w:spacing w:before="120" w:after="120" w:line="276" w:lineRule="auto"/>
        <w:jc w:val="right"/>
        <w:rPr>
          <w:rFonts w:ascii="Museo 300" w:eastAsia="Calibri" w:hAnsi="Museo 300" w:cs="Times New Roman"/>
          <w:bCs/>
        </w:rPr>
      </w:pPr>
      <w:r w:rsidRPr="00497569">
        <w:rPr>
          <w:rFonts w:ascii="Museo 300" w:eastAsia="Calibri" w:hAnsi="Museo 300" w:cs="Times New Roman"/>
          <w:bCs/>
        </w:rPr>
        <w:t xml:space="preserve">San Salvador, </w:t>
      </w:r>
      <w:r>
        <w:rPr>
          <w:rFonts w:ascii="Museo 300" w:eastAsia="Calibri" w:hAnsi="Museo 300" w:cs="Times New Roman"/>
          <w:bCs/>
        </w:rPr>
        <w:t>06</w:t>
      </w:r>
      <w:r w:rsidRPr="00497569">
        <w:rPr>
          <w:rFonts w:ascii="Museo 300" w:eastAsia="Calibri" w:hAnsi="Museo 300" w:cs="Times New Roman"/>
          <w:bCs/>
        </w:rPr>
        <w:t xml:space="preserve"> de </w:t>
      </w:r>
      <w:r>
        <w:rPr>
          <w:rFonts w:ascii="Museo 300" w:eastAsia="Calibri" w:hAnsi="Museo 300" w:cs="Times New Roman"/>
          <w:bCs/>
        </w:rPr>
        <w:t>octu</w:t>
      </w:r>
      <w:r w:rsidRPr="00497569">
        <w:rPr>
          <w:rFonts w:ascii="Museo 300" w:eastAsia="Calibri" w:hAnsi="Museo 300" w:cs="Times New Roman"/>
          <w:bCs/>
        </w:rPr>
        <w:t>bre de 2020</w:t>
      </w:r>
    </w:p>
    <w:p w14:paraId="3EC0C07D" w14:textId="07BD8DB7" w:rsidR="00121F39" w:rsidRDefault="00121F39" w:rsidP="00121F39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  <w:r w:rsidRPr="00497569">
        <w:rPr>
          <w:rFonts w:ascii="Museo 300" w:eastAsia="Calibri" w:hAnsi="Museo 300"/>
          <w:bCs/>
        </w:rPr>
        <w:t xml:space="preserve">Requerimiento: </w:t>
      </w:r>
      <w:r w:rsidRPr="00A83493">
        <w:rPr>
          <w:rFonts w:ascii="Museo 300" w:eastAsia="Calibri" w:hAnsi="Museo 300"/>
          <w:bCs/>
          <w:sz w:val="22"/>
          <w:szCs w:val="22"/>
          <w:lang w:val="en-US" w:eastAsia="en-US"/>
        </w:rPr>
        <w:t>MARN-2020-1</w:t>
      </w:r>
      <w:r>
        <w:rPr>
          <w:rFonts w:ascii="Museo 300" w:eastAsia="Calibri" w:hAnsi="Museo 300"/>
          <w:bCs/>
          <w:sz w:val="22"/>
          <w:szCs w:val="22"/>
          <w:lang w:val="en-US" w:eastAsia="en-US"/>
        </w:rPr>
        <w:t>61</w:t>
      </w:r>
    </w:p>
    <w:p w14:paraId="03A556D4" w14:textId="77777777" w:rsidR="00121F39" w:rsidRPr="00A83493" w:rsidRDefault="00121F39" w:rsidP="00121F39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</w:p>
    <w:p w14:paraId="7900A734" w14:textId="77777777" w:rsidR="00121F39" w:rsidRPr="00A83493" w:rsidRDefault="00121F39" w:rsidP="00121F39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  <w:r w:rsidRPr="00A83493">
        <w:rPr>
          <w:rFonts w:ascii="Museo 300" w:eastAsia="Calibri" w:hAnsi="Museo 300"/>
          <w:bCs/>
          <w:sz w:val="22"/>
          <w:szCs w:val="22"/>
          <w:lang w:val="en-US" w:eastAsia="en-US"/>
        </w:rPr>
        <w:t> </w:t>
      </w:r>
    </w:p>
    <w:p w14:paraId="4D5569E7" w14:textId="189723CA" w:rsidR="00121F39" w:rsidRDefault="006D0664" w:rsidP="00121F39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  <w:r>
        <w:rPr>
          <w:rFonts w:ascii="Museo 300" w:eastAsia="Calibri" w:hAnsi="Museo 300"/>
          <w:bCs/>
          <w:sz w:val="22"/>
          <w:szCs w:val="22"/>
          <w:lang w:val="en-US" w:eastAsia="en-US"/>
        </w:rPr>
        <w:t xml:space="preserve">Información </w:t>
      </w:r>
      <w:proofErr w:type="spellStart"/>
      <w:r>
        <w:rPr>
          <w:rFonts w:ascii="Museo 300" w:eastAsia="Calibri" w:hAnsi="Museo 300"/>
          <w:bCs/>
          <w:sz w:val="22"/>
          <w:szCs w:val="22"/>
          <w:lang w:val="en-US" w:eastAsia="en-US"/>
        </w:rPr>
        <w:t>solicitada</w:t>
      </w:r>
      <w:proofErr w:type="spellEnd"/>
      <w:r w:rsidR="00121F39" w:rsidRPr="00A83493">
        <w:rPr>
          <w:rFonts w:ascii="Museo 300" w:eastAsia="Calibri" w:hAnsi="Museo 300"/>
          <w:bCs/>
          <w:sz w:val="22"/>
          <w:szCs w:val="22"/>
          <w:lang w:val="en-US" w:eastAsia="en-US"/>
        </w:rPr>
        <w:t>:</w:t>
      </w:r>
    </w:p>
    <w:p w14:paraId="72933FA0" w14:textId="77777777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>Si con base en el artículo 7 de la Ley de Gestión Integral de Residuos y Fomento al Reciclaje el MARN ha realizado las siguientes acciones:</w:t>
      </w:r>
    </w:p>
    <w:p w14:paraId="1EF4E629" w14:textId="3CB70276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>1. Formulación las políticas nacionales en materia de gestión integral de residuos y de reciclaje.</w:t>
      </w:r>
    </w:p>
    <w:p w14:paraId="76D19160" w14:textId="53E62C9A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>2. Elaboración del Plan Nacional para la Gestión Integral de Residuos y la valorización de los mismos</w:t>
      </w:r>
    </w:p>
    <w:p w14:paraId="33082693" w14:textId="4049F194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 xml:space="preserve">3. Si a la fecha ha emitido autorizaciones y permisos necesarios para el manejo de residuos objeto de esta ley. </w:t>
      </w:r>
    </w:p>
    <w:p w14:paraId="0F4900FD" w14:textId="6FC5883D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 xml:space="preserve">4. Implementación del Registro de los Manuales de Gestión Integral de Residuos presentados por los gestores de residuos </w:t>
      </w:r>
    </w:p>
    <w:p w14:paraId="671A79BE" w14:textId="08088553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 xml:space="preserve">5. Emisión la normativa necesaria que establezca las bases para la elaboración del Manual de Gestión Integral de Residuos y sus Planes. </w:t>
      </w:r>
    </w:p>
    <w:p w14:paraId="7DBD6D53" w14:textId="77777777" w:rsidR="00121F39" w:rsidRPr="00121F39" w:rsidRDefault="00121F39" w:rsidP="00121F39">
      <w:pPr>
        <w:pStyle w:val="xxmsonormal"/>
        <w:shd w:val="clear" w:color="auto" w:fill="FFFFFF"/>
        <w:spacing w:after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>6. Emisión de los lineamientos para la elaboración del Manual de Gestión Integral de Residuos</w:t>
      </w:r>
    </w:p>
    <w:p w14:paraId="25AC2462" w14:textId="6717FA4B" w:rsidR="00121F39" w:rsidRPr="00121F39" w:rsidRDefault="00121F39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 w:rsidRPr="00121F39">
        <w:rPr>
          <w:rFonts w:ascii="Museo 300" w:eastAsia="Calibri" w:hAnsi="Museo 300"/>
          <w:b/>
          <w:sz w:val="22"/>
          <w:szCs w:val="22"/>
          <w:lang w:eastAsia="en-US"/>
        </w:rPr>
        <w:t>Y en caso de existir algunos de los instrumentos consultados, se solicita enviar el texto de los mismo de forma digital o el vínculo de internet en el cual pueden ser consultados.</w:t>
      </w:r>
    </w:p>
    <w:p w14:paraId="22C79DA6" w14:textId="37C52B4E" w:rsidR="00121F39" w:rsidRDefault="00121F39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221B1027" w14:textId="03476038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6442F2B9" w14:textId="77668DC1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34592132" w14:textId="5A5B4D36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7BADE67B" w14:textId="59700307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3931179C" w14:textId="2B637D03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22BF9E8E" w14:textId="2C32657C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246C0CDB" w14:textId="6035F9FC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11C41CE1" w14:textId="2B949F88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7FB8FC4B" w14:textId="76B3CBEB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6AA2EE2E" w14:textId="079845A3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77B43968" w14:textId="580B37A7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4162D8A9" w14:textId="081EA0D1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6B74C2FA" w14:textId="7944CC07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>Respuesta</w:t>
      </w:r>
      <w:r w:rsidR="006D0664">
        <w:rPr>
          <w:rFonts w:ascii="Museo 300" w:eastAsia="Calibri" w:hAnsi="Museo 300"/>
          <w:b/>
          <w:sz w:val="22"/>
          <w:szCs w:val="22"/>
          <w:lang w:eastAsia="en-US"/>
        </w:rPr>
        <w:t>s</w:t>
      </w:r>
    </w:p>
    <w:p w14:paraId="6B168740" w14:textId="5A4F8441" w:rsidR="003A512F" w:rsidRDefault="003A512F" w:rsidP="00121F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Museo 300" w:eastAsia="Calibri" w:hAnsi="Museo 300"/>
          <w:b/>
          <w:sz w:val="22"/>
          <w:szCs w:val="22"/>
          <w:lang w:eastAsia="en-US"/>
        </w:rPr>
      </w:pPr>
    </w:p>
    <w:p w14:paraId="0027669C" w14:textId="77777777" w:rsidR="003A22E7" w:rsidRDefault="003A22E7" w:rsidP="009E1F24">
      <w:pPr>
        <w:pStyle w:val="xxmsonormal"/>
        <w:shd w:val="clear" w:color="auto" w:fill="FFFFFF"/>
        <w:spacing w:after="0" w:line="276" w:lineRule="auto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>
        <w:rPr>
          <w:rFonts w:ascii="Museo 300" w:eastAsia="Calibri" w:hAnsi="Museo 300"/>
          <w:bCs/>
          <w:sz w:val="22"/>
          <w:szCs w:val="22"/>
          <w:lang w:eastAsia="en-US"/>
        </w:rPr>
        <w:t>En referencia a las preguntas</w:t>
      </w:r>
      <w:r w:rsidR="003A512F"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 presentadas en la solicitud OIR 2020-161, le informamos que se encuentran en proceso de preparación, esperando cumplir con los plazos estipulados por la ley.  </w:t>
      </w:r>
    </w:p>
    <w:p w14:paraId="04067AC1" w14:textId="43EE3CB6" w:rsidR="003A512F" w:rsidRPr="003A512F" w:rsidRDefault="003A512F" w:rsidP="009E1F24">
      <w:pPr>
        <w:pStyle w:val="xxmsonormal"/>
        <w:shd w:val="clear" w:color="auto" w:fill="FFFFFF"/>
        <w:spacing w:after="0" w:line="276" w:lineRule="auto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A continuación, remitimos los artículos relacionados con la consulta</w:t>
      </w:r>
      <w:r w:rsidR="003A22E7">
        <w:rPr>
          <w:rFonts w:ascii="Museo 300" w:eastAsia="Calibri" w:hAnsi="Museo 300"/>
          <w:bCs/>
          <w:sz w:val="22"/>
          <w:szCs w:val="22"/>
          <w:lang w:eastAsia="en-US"/>
        </w:rPr>
        <w:t>:</w:t>
      </w:r>
    </w:p>
    <w:p w14:paraId="1C0FE188" w14:textId="3B916037" w:rsidR="003A512F" w:rsidRPr="003A512F" w:rsidRDefault="003A512F" w:rsidP="009E1F24">
      <w:pPr>
        <w:pStyle w:val="xxmsonormal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De acuerdo al Art. 67, la Ley de Gestión Integral de Residuos y Fomento al Reciclaje entregará en vigencia, ocho días después de su publicación en el Diario Oficial.</w:t>
      </w:r>
    </w:p>
    <w:p w14:paraId="0C75346D" w14:textId="308AF500" w:rsidR="009E1F24" w:rsidRPr="003A512F" w:rsidRDefault="003A512F" w:rsidP="009E1F24">
      <w:pPr>
        <w:pStyle w:val="xxmsonormal"/>
        <w:shd w:val="clear" w:color="auto" w:fill="FFFFFF"/>
        <w:spacing w:after="0" w:line="276" w:lineRule="auto"/>
        <w:ind w:left="720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La fecha de publicación de la Ley fue el 27 de febrero de 2020, ocho días después entraría en vigencia</w:t>
      </w:r>
      <w:r w:rsidR="009E1F24">
        <w:rPr>
          <w:rFonts w:ascii="Museo 300" w:eastAsia="Calibri" w:hAnsi="Museo 300"/>
          <w:bCs/>
          <w:sz w:val="22"/>
          <w:szCs w:val="22"/>
          <w:lang w:eastAsia="en-US"/>
        </w:rPr>
        <w:t>,</w:t>
      </w: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 el 6 de marzo de 2020.</w:t>
      </w:r>
    </w:p>
    <w:p w14:paraId="6E523536" w14:textId="77777777" w:rsidR="009E1F24" w:rsidRDefault="003A512F" w:rsidP="009E1F24">
      <w:pPr>
        <w:pStyle w:val="xxmsonormal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En base al artículo 61 de la Ley, se tiene 90 días para la elaboración del Reglamento de la Ley</w:t>
      </w:r>
      <w:r w:rsidR="009E1F24">
        <w:rPr>
          <w:rFonts w:ascii="Museo 300" w:eastAsia="Calibri" w:hAnsi="Museo 300"/>
          <w:bCs/>
          <w:sz w:val="22"/>
          <w:szCs w:val="22"/>
          <w:lang w:eastAsia="en-US"/>
        </w:rPr>
        <w:t>.</w:t>
      </w:r>
    </w:p>
    <w:p w14:paraId="5D285CEC" w14:textId="5DE5D1D9" w:rsidR="009E1F24" w:rsidRPr="003A512F" w:rsidRDefault="009E1F24" w:rsidP="009E1F24">
      <w:pPr>
        <w:pStyle w:val="xxmsonormal"/>
        <w:shd w:val="clear" w:color="auto" w:fill="FFFFFF"/>
        <w:spacing w:after="0" w:line="276" w:lineRule="auto"/>
        <w:ind w:left="720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Debido a la situación generada por la pandemia del COVID-19, los plazos</w:t>
      </w:r>
      <w:r>
        <w:rPr>
          <w:rFonts w:ascii="Museo 300" w:eastAsia="Calibri" w:hAnsi="Museo 300"/>
          <w:bCs/>
          <w:sz w:val="22"/>
          <w:szCs w:val="22"/>
          <w:lang w:eastAsia="en-US"/>
        </w:rPr>
        <w:t xml:space="preserve"> s</w:t>
      </w: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e interrumpieron a partir del 16 de marzo del presente año,</w:t>
      </w:r>
    </w:p>
    <w:p w14:paraId="27A3D473" w14:textId="74515CF7" w:rsidR="006D0664" w:rsidRDefault="003A512F" w:rsidP="006D0664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Para la elaboración de los reglamentos técnicos para la adecuada gestión de los rellenos sanitarios, recolección y transporte de los residuos, estaciones de transferencia y plantas de compostaje, el MARN tiene un plazo no mayor de trescientos sesenta y cinco días.</w:t>
      </w:r>
    </w:p>
    <w:p w14:paraId="76DD3EB0" w14:textId="77777777" w:rsidR="006D0664" w:rsidRPr="006D0664" w:rsidRDefault="006D0664" w:rsidP="006D0664">
      <w:pPr>
        <w:pStyle w:val="xxmsonormal"/>
        <w:shd w:val="clear" w:color="auto" w:fill="FFFFFF"/>
        <w:spacing w:before="0" w:beforeAutospacing="0" w:after="0" w:afterAutospacing="0" w:line="276" w:lineRule="auto"/>
        <w:ind w:left="714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324AAD48" w14:textId="75A676B8" w:rsidR="003A512F" w:rsidRPr="009E1F24" w:rsidRDefault="003A512F" w:rsidP="006D0664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Sobre la gradualidad de la implementación</w:t>
      </w:r>
    </w:p>
    <w:p w14:paraId="276FC7A3" w14:textId="6653E18B" w:rsidR="003A512F" w:rsidRPr="003A512F" w:rsidRDefault="003A512F" w:rsidP="009E1F24">
      <w:pPr>
        <w:pStyle w:val="xxmsonormal"/>
        <w:shd w:val="clear" w:color="auto" w:fill="FFFFFF"/>
        <w:spacing w:after="0" w:line="276" w:lineRule="auto"/>
        <w:ind w:left="709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El artículo 63. Establece </w:t>
      </w:r>
      <w:r w:rsidR="009E1F24" w:rsidRPr="003A512F">
        <w:rPr>
          <w:rFonts w:ascii="Museo 300" w:eastAsia="Calibri" w:hAnsi="Museo 300"/>
          <w:bCs/>
          <w:sz w:val="22"/>
          <w:szCs w:val="22"/>
          <w:lang w:eastAsia="en-US"/>
        </w:rPr>
        <w:t>que,</w:t>
      </w: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 para efectos de implementación de la presente ley, se establecen los plazos para la elaboración de los instrumentos siguientes:</w:t>
      </w:r>
    </w:p>
    <w:p w14:paraId="6F163A39" w14:textId="77777777" w:rsidR="009E1F24" w:rsidRDefault="003A512F" w:rsidP="009E1F24">
      <w:pPr>
        <w:pStyle w:val="xxmsonormal"/>
        <w:numPr>
          <w:ilvl w:val="0"/>
          <w:numId w:val="3"/>
        </w:numPr>
        <w:shd w:val="clear" w:color="auto" w:fill="FFFFFF"/>
        <w:spacing w:after="0" w:line="276" w:lineRule="auto"/>
        <w:ind w:left="1134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>El MARN tendrá un plazo de doce meses para la elaboración del Diagnóstico Nacional de Residuos, a partir de la entrada en vigencia de la presente ley.</w:t>
      </w:r>
    </w:p>
    <w:p w14:paraId="73D72BDD" w14:textId="77777777" w:rsidR="009E1F24" w:rsidRDefault="003A512F" w:rsidP="009E1F24">
      <w:pPr>
        <w:pStyle w:val="xxmsonormal"/>
        <w:numPr>
          <w:ilvl w:val="0"/>
          <w:numId w:val="3"/>
        </w:numPr>
        <w:shd w:val="clear" w:color="auto" w:fill="FFFFFF"/>
        <w:spacing w:after="0" w:line="276" w:lineRule="auto"/>
        <w:ind w:left="1134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9E1F24">
        <w:rPr>
          <w:rFonts w:ascii="Museo 300" w:eastAsia="Calibri" w:hAnsi="Museo 300"/>
          <w:bCs/>
          <w:sz w:val="22"/>
          <w:szCs w:val="22"/>
          <w:lang w:eastAsia="en-US"/>
        </w:rPr>
        <w:t>El MARN tendrá un plazo de dieciocho meses para la elaboración del Plan Nacional para la Gestión de Residuos, a partir de la entrada en vigencia de la presente ley.</w:t>
      </w:r>
    </w:p>
    <w:p w14:paraId="43849B90" w14:textId="77777777" w:rsidR="009E1F24" w:rsidRDefault="003A512F" w:rsidP="009E1F24">
      <w:pPr>
        <w:pStyle w:val="xxmsonormal"/>
        <w:numPr>
          <w:ilvl w:val="0"/>
          <w:numId w:val="3"/>
        </w:numPr>
        <w:shd w:val="clear" w:color="auto" w:fill="FFFFFF"/>
        <w:spacing w:after="0" w:line="276" w:lineRule="auto"/>
        <w:ind w:left="1134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9E1F24">
        <w:rPr>
          <w:rFonts w:ascii="Museo 300" w:eastAsia="Calibri" w:hAnsi="Museo 300"/>
          <w:bCs/>
          <w:sz w:val="22"/>
          <w:szCs w:val="22"/>
          <w:lang w:eastAsia="en-US"/>
        </w:rPr>
        <w:t>Las Municipalidades tendrán un plazo de seis meses, contados a partir de la emisión del Plan Nacional para la Gestión Integral de Residuos para elaborar su correspondiente Manual de Gestión Integral de Residuos.</w:t>
      </w:r>
    </w:p>
    <w:p w14:paraId="3753DC28" w14:textId="73341809" w:rsidR="003A512F" w:rsidRPr="009E1F24" w:rsidRDefault="003A512F" w:rsidP="009E1F24">
      <w:pPr>
        <w:pStyle w:val="xxmsonormal"/>
        <w:numPr>
          <w:ilvl w:val="0"/>
          <w:numId w:val="3"/>
        </w:numPr>
        <w:shd w:val="clear" w:color="auto" w:fill="FFFFFF"/>
        <w:spacing w:after="0" w:line="276" w:lineRule="auto"/>
        <w:ind w:left="1134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9E1F24">
        <w:rPr>
          <w:rFonts w:ascii="Museo 300" w:eastAsia="Calibri" w:hAnsi="Museo 300"/>
          <w:bCs/>
          <w:sz w:val="22"/>
          <w:szCs w:val="22"/>
          <w:lang w:eastAsia="en-US"/>
        </w:rPr>
        <w:t>Las demás personas que de conformidad a esta ley estén obligadas a contar con autorización y con un Manual de Gestión Integral de Residuos, a partir de la emisión del Plan Nacional para la Gestión Integral de Residuos, tendrán seis meses para presentar la solicitud correspondiente al MARN.</w:t>
      </w:r>
    </w:p>
    <w:p w14:paraId="2731BBAE" w14:textId="77777777" w:rsidR="003A512F" w:rsidRPr="003A512F" w:rsidRDefault="003A512F" w:rsidP="009E1F24">
      <w:pPr>
        <w:pStyle w:val="xxmsonormal"/>
        <w:shd w:val="clear" w:color="auto" w:fill="FFFFFF"/>
        <w:spacing w:after="0" w:line="276" w:lineRule="auto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07088282" w14:textId="5D8DA7F5" w:rsidR="006D0664" w:rsidRDefault="003A512F" w:rsidP="006D0664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La formulación las políticas nacionales en materia de gestión integral de residuos y de reciclaje, establecidas en el </w:t>
      </w:r>
      <w:r w:rsidR="009E1F24" w:rsidRPr="003A512F">
        <w:rPr>
          <w:rFonts w:ascii="Museo 300" w:eastAsia="Calibri" w:hAnsi="Museo 300"/>
          <w:bCs/>
          <w:sz w:val="22"/>
          <w:szCs w:val="22"/>
          <w:lang w:eastAsia="en-US"/>
        </w:rPr>
        <w:t>artículo</w:t>
      </w: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 7 de la Ley, se definirán en base a los resultados del </w:t>
      </w:r>
      <w:r w:rsidR="009E1F24" w:rsidRPr="003A512F">
        <w:rPr>
          <w:rFonts w:ascii="Museo 300" w:eastAsia="Calibri" w:hAnsi="Museo 300"/>
          <w:bCs/>
          <w:sz w:val="22"/>
          <w:szCs w:val="22"/>
          <w:lang w:eastAsia="en-US"/>
        </w:rPr>
        <w:t>diagnóstico</w:t>
      </w: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 y la Plan Nacional de Plan Nacional para la Gestión de Residuos.</w:t>
      </w:r>
    </w:p>
    <w:p w14:paraId="7908912F" w14:textId="77777777" w:rsidR="006D0664" w:rsidRPr="006D0664" w:rsidRDefault="006D0664" w:rsidP="006D0664">
      <w:pPr>
        <w:pStyle w:val="xxmsonormal"/>
        <w:shd w:val="clear" w:color="auto" w:fill="FFFFFF"/>
        <w:spacing w:before="0" w:beforeAutospacing="0" w:after="0" w:afterAutospacing="0" w:line="276" w:lineRule="auto"/>
        <w:ind w:left="714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bookmarkStart w:id="0" w:name="_GoBack"/>
      <w:bookmarkEnd w:id="0"/>
    </w:p>
    <w:p w14:paraId="4B48F1EF" w14:textId="30DA86A5" w:rsidR="003A512F" w:rsidRPr="003A512F" w:rsidRDefault="003A512F" w:rsidP="006D0664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  <w:r w:rsidRPr="003A512F">
        <w:rPr>
          <w:rFonts w:ascii="Museo 300" w:eastAsia="Calibri" w:hAnsi="Museo 300"/>
          <w:bCs/>
          <w:sz w:val="22"/>
          <w:szCs w:val="22"/>
          <w:lang w:eastAsia="en-US"/>
        </w:rPr>
        <w:t xml:space="preserve">Puede consultar el Diario Oficial Tomo No 426, del jueves 27 de febrero de 2020, Número 40, </w:t>
      </w:r>
      <w:hyperlink r:id="rId6" w:history="1">
        <w:r w:rsidR="009E1F24" w:rsidRPr="00973EF8">
          <w:rPr>
            <w:rStyle w:val="Hipervnculo"/>
            <w:rFonts w:ascii="Museo 300" w:eastAsia="Calibri" w:hAnsi="Museo 300"/>
            <w:bCs/>
            <w:sz w:val="22"/>
            <w:szCs w:val="22"/>
            <w:lang w:eastAsia="en-US"/>
          </w:rPr>
          <w:t>http://cidoc.marn.gob.sv/documentos/decreto-no-527-ley-de-gestion-integral-de-residuos-y-fomento-al-reciclaje/</w:t>
        </w:r>
      </w:hyperlink>
      <w:r w:rsidR="009E1F24">
        <w:rPr>
          <w:rFonts w:ascii="Museo 300" w:eastAsia="Calibri" w:hAnsi="Museo 300"/>
          <w:bCs/>
          <w:sz w:val="22"/>
          <w:szCs w:val="22"/>
          <w:lang w:eastAsia="en-US"/>
        </w:rPr>
        <w:t xml:space="preserve"> </w:t>
      </w:r>
    </w:p>
    <w:p w14:paraId="3791A1EE" w14:textId="77777777" w:rsidR="003A512F" w:rsidRPr="003A512F" w:rsidRDefault="003A512F" w:rsidP="009E1F24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rFonts w:ascii="Museo 300" w:eastAsia="Calibri" w:hAnsi="Museo 300"/>
          <w:bCs/>
          <w:sz w:val="22"/>
          <w:szCs w:val="22"/>
          <w:lang w:eastAsia="en-US"/>
        </w:rPr>
      </w:pPr>
    </w:p>
    <w:sectPr w:rsidR="003A512F" w:rsidRPr="003A512F" w:rsidSect="00A7473E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35A"/>
    <w:multiLevelType w:val="hybridMultilevel"/>
    <w:tmpl w:val="60260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7104"/>
    <w:multiLevelType w:val="hybridMultilevel"/>
    <w:tmpl w:val="0EB824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6783"/>
    <w:multiLevelType w:val="hybridMultilevel"/>
    <w:tmpl w:val="E85E1D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EA1"/>
    <w:multiLevelType w:val="hybridMultilevel"/>
    <w:tmpl w:val="B9FC9834"/>
    <w:lvl w:ilvl="0" w:tplc="A10277C8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11" w:hanging="360"/>
      </w:pPr>
    </w:lvl>
    <w:lvl w:ilvl="2" w:tplc="440A001B" w:tentative="1">
      <w:start w:val="1"/>
      <w:numFmt w:val="lowerRoman"/>
      <w:lvlText w:val="%3."/>
      <w:lvlJc w:val="right"/>
      <w:pPr>
        <w:ind w:left="2331" w:hanging="180"/>
      </w:pPr>
    </w:lvl>
    <w:lvl w:ilvl="3" w:tplc="440A000F" w:tentative="1">
      <w:start w:val="1"/>
      <w:numFmt w:val="decimal"/>
      <w:lvlText w:val="%4."/>
      <w:lvlJc w:val="left"/>
      <w:pPr>
        <w:ind w:left="3051" w:hanging="360"/>
      </w:pPr>
    </w:lvl>
    <w:lvl w:ilvl="4" w:tplc="440A0019" w:tentative="1">
      <w:start w:val="1"/>
      <w:numFmt w:val="lowerLetter"/>
      <w:lvlText w:val="%5."/>
      <w:lvlJc w:val="left"/>
      <w:pPr>
        <w:ind w:left="3771" w:hanging="360"/>
      </w:pPr>
    </w:lvl>
    <w:lvl w:ilvl="5" w:tplc="440A001B" w:tentative="1">
      <w:start w:val="1"/>
      <w:numFmt w:val="lowerRoman"/>
      <w:lvlText w:val="%6."/>
      <w:lvlJc w:val="right"/>
      <w:pPr>
        <w:ind w:left="4491" w:hanging="180"/>
      </w:pPr>
    </w:lvl>
    <w:lvl w:ilvl="6" w:tplc="440A000F" w:tentative="1">
      <w:start w:val="1"/>
      <w:numFmt w:val="decimal"/>
      <w:lvlText w:val="%7."/>
      <w:lvlJc w:val="left"/>
      <w:pPr>
        <w:ind w:left="5211" w:hanging="360"/>
      </w:pPr>
    </w:lvl>
    <w:lvl w:ilvl="7" w:tplc="440A0019" w:tentative="1">
      <w:start w:val="1"/>
      <w:numFmt w:val="lowerLetter"/>
      <w:lvlText w:val="%8."/>
      <w:lvlJc w:val="left"/>
      <w:pPr>
        <w:ind w:left="5931" w:hanging="360"/>
      </w:pPr>
    </w:lvl>
    <w:lvl w:ilvl="8" w:tplc="440A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9"/>
    <w:rsid w:val="000402CD"/>
    <w:rsid w:val="00121F39"/>
    <w:rsid w:val="003A22E7"/>
    <w:rsid w:val="003A512F"/>
    <w:rsid w:val="006D0664"/>
    <w:rsid w:val="006F2F87"/>
    <w:rsid w:val="009213EA"/>
    <w:rsid w:val="009E1F24"/>
    <w:rsid w:val="00B17442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A67"/>
  <w15:chartTrackingRefBased/>
  <w15:docId w15:val="{CA624D12-2303-448F-BF6A-C26FFE1C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3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F39"/>
    <w:pPr>
      <w:ind w:left="720"/>
      <w:contextualSpacing/>
    </w:pPr>
  </w:style>
  <w:style w:type="paragraph" w:customStyle="1" w:styleId="xxmsonormal">
    <w:name w:val="x_x_msonormal"/>
    <w:basedOn w:val="Normal"/>
    <w:rsid w:val="0012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xmsolistparagraph">
    <w:name w:val="x_x_msolistparagraph"/>
    <w:basedOn w:val="Normal"/>
    <w:rsid w:val="0012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xmsoplaintext">
    <w:name w:val="x_x_msoplaintext"/>
    <w:basedOn w:val="Normal"/>
    <w:rsid w:val="00121F39"/>
    <w:pPr>
      <w:spacing w:after="0" w:line="240" w:lineRule="auto"/>
    </w:pPr>
    <w:rPr>
      <w:rFonts w:ascii="Calibri" w:hAnsi="Calibri" w:cs="Calibri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E1F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doc.marn.gob.sv/documentos/decreto-no-527-ley-de-gestion-integral-de-residuos-y-fomento-al-reciclaj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Ana Silvia Figueroa de Alvarenga</cp:lastModifiedBy>
  <cp:revision>2</cp:revision>
  <dcterms:created xsi:type="dcterms:W3CDTF">2020-10-12T19:45:00Z</dcterms:created>
  <dcterms:modified xsi:type="dcterms:W3CDTF">2020-10-12T19:45:00Z</dcterms:modified>
</cp:coreProperties>
</file>