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EA16E" w14:textId="77777777" w:rsidR="00D9409E" w:rsidRDefault="00D9409E" w:rsidP="00D9409E">
      <w:pPr>
        <w:pStyle w:val="xxmsoplaintext"/>
        <w:shd w:val="clear" w:color="auto" w:fill="FFFFFF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90C40F7" wp14:editId="0624FBDB">
            <wp:simplePos x="0" y="0"/>
            <wp:positionH relativeFrom="margin">
              <wp:posOffset>1948815</wp:posOffset>
            </wp:positionH>
            <wp:positionV relativeFrom="margin">
              <wp:posOffset>114300</wp:posOffset>
            </wp:positionV>
            <wp:extent cx="1712595" cy="895350"/>
            <wp:effectExtent l="0" t="0" r="1905" b="0"/>
            <wp:wrapSquare wrapText="bothSides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3C876" w14:textId="77777777" w:rsidR="00D9409E" w:rsidRDefault="00D9409E" w:rsidP="00D9409E">
      <w:pPr>
        <w:pStyle w:val="xxmsoplaintext"/>
        <w:shd w:val="clear" w:color="auto" w:fill="FFFFFF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</w:pPr>
    </w:p>
    <w:p w14:paraId="3D3E25FE" w14:textId="77777777" w:rsidR="00D9409E" w:rsidRDefault="00D9409E" w:rsidP="00D9409E">
      <w:pPr>
        <w:pStyle w:val="xxmsoplaintext"/>
        <w:shd w:val="clear" w:color="auto" w:fill="FFFFFF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</w:pPr>
    </w:p>
    <w:p w14:paraId="144453EC" w14:textId="77777777" w:rsidR="00D9409E" w:rsidRDefault="00D9409E" w:rsidP="00D9409E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</w:p>
    <w:p w14:paraId="1C5445A0" w14:textId="77777777" w:rsidR="00D9409E" w:rsidRDefault="00D9409E" w:rsidP="00D9409E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</w:p>
    <w:p w14:paraId="67FFCA23" w14:textId="77777777" w:rsidR="00D9409E" w:rsidRDefault="00D9409E" w:rsidP="00D9409E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</w:p>
    <w:p w14:paraId="5AFA97B3" w14:textId="77777777" w:rsidR="00D9409E" w:rsidRPr="00497569" w:rsidRDefault="00D9409E" w:rsidP="00D9409E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  <w:r w:rsidRPr="007D6EEC">
        <w:rPr>
          <w:rFonts w:ascii="Museo 300" w:eastAsia="Calibri" w:hAnsi="Museo 300" w:cs="Times New Roman"/>
          <w:bCs/>
        </w:rPr>
        <w:t>Dirección</w:t>
      </w:r>
      <w:r w:rsidRPr="00497569">
        <w:rPr>
          <w:rFonts w:ascii="Museo 300" w:eastAsia="Calibri" w:hAnsi="Museo 300" w:cs="Times New Roman"/>
          <w:bCs/>
        </w:rPr>
        <w:t xml:space="preserve"> General de Seguridad Hídrica </w:t>
      </w:r>
    </w:p>
    <w:p w14:paraId="5A9A98F3" w14:textId="77777777" w:rsidR="00D9409E" w:rsidRPr="00497569" w:rsidRDefault="00D9409E" w:rsidP="00D9409E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  <w:r w:rsidRPr="00497569">
        <w:rPr>
          <w:rFonts w:ascii="Museo 300" w:eastAsia="Calibri" w:hAnsi="Museo 300" w:cs="Times New Roman"/>
          <w:bCs/>
        </w:rPr>
        <w:t>Gerencia de Desechos Sólidos y Peligrosos</w:t>
      </w:r>
    </w:p>
    <w:p w14:paraId="7AD06F3F" w14:textId="77777777" w:rsidR="00D9409E" w:rsidRPr="00497569" w:rsidRDefault="00D9409E" w:rsidP="00D9409E">
      <w:pPr>
        <w:spacing w:after="200" w:line="276" w:lineRule="auto"/>
        <w:rPr>
          <w:rFonts w:ascii="Museo 300" w:eastAsia="Calibri" w:hAnsi="Museo 300" w:cs="Times New Roman"/>
          <w:b/>
          <w:bCs/>
        </w:rPr>
      </w:pPr>
    </w:p>
    <w:p w14:paraId="2948C13E" w14:textId="754DA5C7" w:rsidR="00D9409E" w:rsidRPr="00497569" w:rsidRDefault="00D9409E" w:rsidP="00D9409E">
      <w:pPr>
        <w:spacing w:before="120" w:after="120" w:line="276" w:lineRule="auto"/>
        <w:jc w:val="right"/>
        <w:rPr>
          <w:rFonts w:ascii="Museo 300" w:eastAsia="Calibri" w:hAnsi="Museo 300" w:cs="Times New Roman"/>
          <w:bCs/>
        </w:rPr>
      </w:pPr>
      <w:r w:rsidRPr="00497569">
        <w:rPr>
          <w:rFonts w:ascii="Museo 300" w:eastAsia="Calibri" w:hAnsi="Museo 300" w:cs="Times New Roman"/>
          <w:bCs/>
        </w:rPr>
        <w:t xml:space="preserve">San Salvador, </w:t>
      </w:r>
      <w:r>
        <w:rPr>
          <w:rFonts w:ascii="Museo 300" w:eastAsia="Calibri" w:hAnsi="Museo 300" w:cs="Times New Roman"/>
          <w:bCs/>
        </w:rPr>
        <w:t>12</w:t>
      </w:r>
      <w:r w:rsidRPr="00497569">
        <w:rPr>
          <w:rFonts w:ascii="Museo 300" w:eastAsia="Calibri" w:hAnsi="Museo 300" w:cs="Times New Roman"/>
          <w:bCs/>
        </w:rPr>
        <w:t xml:space="preserve"> de </w:t>
      </w:r>
      <w:r>
        <w:rPr>
          <w:rFonts w:ascii="Museo 300" w:eastAsia="Calibri" w:hAnsi="Museo 300" w:cs="Times New Roman"/>
          <w:bCs/>
        </w:rPr>
        <w:t>octu</w:t>
      </w:r>
      <w:r w:rsidRPr="00497569">
        <w:rPr>
          <w:rFonts w:ascii="Museo 300" w:eastAsia="Calibri" w:hAnsi="Museo 300" w:cs="Times New Roman"/>
          <w:bCs/>
        </w:rPr>
        <w:t>bre de 2020</w:t>
      </w:r>
    </w:p>
    <w:p w14:paraId="672A3D04" w14:textId="1BB0E630" w:rsidR="00D9409E" w:rsidRPr="00881339" w:rsidRDefault="00D9409E" w:rsidP="00D9409E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497569">
        <w:rPr>
          <w:rFonts w:ascii="Museo 300" w:eastAsia="Calibri" w:hAnsi="Museo 300"/>
          <w:bCs/>
        </w:rPr>
        <w:t xml:space="preserve">Requerimiento: </w:t>
      </w:r>
      <w:r w:rsidRPr="00881339">
        <w:rPr>
          <w:rFonts w:ascii="Museo 300" w:eastAsia="Calibri" w:hAnsi="Museo 300"/>
          <w:bCs/>
          <w:sz w:val="22"/>
          <w:szCs w:val="22"/>
          <w:lang w:eastAsia="en-US"/>
        </w:rPr>
        <w:t>MARN-2020-164</w:t>
      </w:r>
    </w:p>
    <w:p w14:paraId="5A73A5F5" w14:textId="77777777" w:rsidR="00D9409E" w:rsidRPr="00881339" w:rsidRDefault="00D9409E" w:rsidP="00D9409E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21B28A3D" w14:textId="77777777" w:rsidR="00D9409E" w:rsidRPr="00881339" w:rsidRDefault="00D9409E" w:rsidP="00D9409E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881339">
        <w:rPr>
          <w:rFonts w:ascii="Museo 300" w:eastAsia="Calibri" w:hAnsi="Museo 300"/>
          <w:bCs/>
          <w:sz w:val="22"/>
          <w:szCs w:val="22"/>
          <w:lang w:eastAsia="en-US"/>
        </w:rPr>
        <w:t> </w:t>
      </w:r>
    </w:p>
    <w:p w14:paraId="596DFEA8" w14:textId="0B0CC435" w:rsidR="00D9409E" w:rsidRPr="00D9409E" w:rsidRDefault="00D9409E" w:rsidP="00D9409E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Información solicitada:</w:t>
      </w:r>
    </w:p>
    <w:p w14:paraId="2FF23296" w14:textId="77777777" w:rsidR="00D9409E" w:rsidRPr="00D9409E" w:rsidRDefault="00D9409E" w:rsidP="00D9409E">
      <w:pPr>
        <w:pStyle w:val="xxmsonormal"/>
        <w:shd w:val="clear" w:color="auto" w:fill="FFFFFF"/>
        <w:spacing w:after="0"/>
        <w:rPr>
          <w:rFonts w:ascii="Museo 300" w:eastAsia="Calibri" w:hAnsi="Museo 300"/>
          <w:b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/>
          <w:sz w:val="22"/>
          <w:szCs w:val="22"/>
          <w:lang w:eastAsia="en-US"/>
        </w:rPr>
        <w:t>“Información de propuestas, proyectos y/o soluciones para el tratamiento y destrucción de desechos sólidos en general y en específico del incremento de desechos a los que el país se ha visto sometido por la pandemia del covid19”.</w:t>
      </w:r>
    </w:p>
    <w:p w14:paraId="50A2C942" w14:textId="1FBE92A3" w:rsidR="00D9409E" w:rsidRPr="00D9409E" w:rsidRDefault="00D9409E" w:rsidP="00D9409E">
      <w:pPr>
        <w:pStyle w:val="xxmsonormal"/>
        <w:shd w:val="clear" w:color="auto" w:fill="FFFFFF"/>
        <w:spacing w:after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 xml:space="preserve">Respuesta </w:t>
      </w:r>
    </w:p>
    <w:p w14:paraId="48699552" w14:textId="185A8F83" w:rsidR="00D9409E" w:rsidRPr="00D9409E" w:rsidRDefault="00D9409E" w:rsidP="00D9409E">
      <w:pPr>
        <w:pStyle w:val="xxmsonormal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En relación a información de propuestas, proyectos y/o soluciones para el tratamiento y destrucción de desechos sólidos en general.</w:t>
      </w:r>
    </w:p>
    <w:p w14:paraId="63A38681" w14:textId="2BF0C304" w:rsidR="00D9409E" w:rsidRPr="00D9409E" w:rsidRDefault="00D9409E" w:rsidP="00891954">
      <w:pPr>
        <w:pStyle w:val="xxmsonormal"/>
        <w:numPr>
          <w:ilvl w:val="0"/>
          <w:numId w:val="8"/>
        </w:numPr>
        <w:shd w:val="clear" w:color="auto" w:fill="FFFFFF"/>
        <w:spacing w:after="240" w:afterAutospacing="0"/>
        <w:ind w:left="709" w:hanging="283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Para el tratamiento de los residuos orgánicos aprovechables, en el país hay</w:t>
      </w:r>
      <w:r>
        <w:rPr>
          <w:rFonts w:ascii="Museo 300" w:eastAsia="Calibri" w:hAnsi="Museo 300"/>
          <w:bCs/>
          <w:sz w:val="22"/>
          <w:szCs w:val="22"/>
          <w:lang w:eastAsia="en-US"/>
        </w:rPr>
        <w:t xml:space="preserve"> </w:t>
      </w: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 xml:space="preserve">construidas 50 plantas de compostaje municipales. </w:t>
      </w:r>
    </w:p>
    <w:p w14:paraId="797D75DC" w14:textId="77777777" w:rsidR="00D9409E" w:rsidRDefault="00D9409E" w:rsidP="00891954">
      <w:pPr>
        <w:pStyle w:val="xxmsonormal"/>
        <w:shd w:val="clear" w:color="auto" w:fill="FFFFFF"/>
        <w:spacing w:after="240" w:afterAutospacing="0"/>
        <w:ind w:left="720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También existen empresas recicladoras que transforman los residuos aprovechables, como lo son el vidrio, el aluminio, el hierro, el papel, el cartón y el plástico en materia prima o en otros productos.</w:t>
      </w:r>
    </w:p>
    <w:p w14:paraId="75AF1D8A" w14:textId="1F6154F8" w:rsidR="00D9409E" w:rsidRPr="00891954" w:rsidRDefault="00D9409E" w:rsidP="00891954">
      <w:pPr>
        <w:pStyle w:val="xxmsonormal"/>
        <w:numPr>
          <w:ilvl w:val="0"/>
          <w:numId w:val="8"/>
        </w:numPr>
        <w:shd w:val="clear" w:color="auto" w:fill="FFFFFF"/>
        <w:spacing w:after="240" w:afterAutospacing="0"/>
        <w:ind w:left="709" w:hanging="283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 xml:space="preserve">Los residuos recolectados y transportados por las municipalidades, son depositados en los rellenos sanitarios. En el país, existen 17 rellenos sanitarios, los cuales prestan el servicio de disposición final de residuos sólidos. </w:t>
      </w:r>
    </w:p>
    <w:p w14:paraId="027DB4E7" w14:textId="7023C2BF" w:rsidR="00D9409E" w:rsidRPr="00891954" w:rsidRDefault="00D9409E" w:rsidP="00891954">
      <w:pPr>
        <w:pStyle w:val="xxmsonormal"/>
        <w:numPr>
          <w:ilvl w:val="0"/>
          <w:numId w:val="8"/>
        </w:numPr>
        <w:shd w:val="clear" w:color="auto" w:fill="FFFFFF"/>
        <w:spacing w:after="240" w:afterAutospacing="0"/>
        <w:ind w:left="709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El Ministerio de Salud, podrá proporcionar datos, si es que hay, del incremento en la generación de los desechos hospitalarios.</w:t>
      </w:r>
    </w:p>
    <w:p w14:paraId="759DC335" w14:textId="2FD351E5" w:rsidR="00891954" w:rsidRPr="00881339" w:rsidRDefault="00D9409E" w:rsidP="00881339">
      <w:pPr>
        <w:pStyle w:val="xxmsonormal"/>
        <w:numPr>
          <w:ilvl w:val="0"/>
          <w:numId w:val="8"/>
        </w:numPr>
        <w:shd w:val="clear" w:color="auto" w:fill="FFFFFF"/>
        <w:spacing w:after="240" w:afterAutospacing="0"/>
        <w:ind w:left="709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Se incluye el listado de los rellenos sanitarios, plantas de compostaje y recicladores.</w:t>
      </w:r>
      <w:bookmarkStart w:id="0" w:name="_GoBack"/>
      <w:bookmarkEnd w:id="0"/>
    </w:p>
    <w:p w14:paraId="4446D44B" w14:textId="30488DBD" w:rsidR="00D9409E" w:rsidRPr="00D9409E" w:rsidRDefault="00D9409E" w:rsidP="00D9409E">
      <w:pPr>
        <w:pStyle w:val="xxmsonormal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En específico del incremento de desechos a los que el país se ha visto sometido por la pandemia del covid19.</w:t>
      </w:r>
    </w:p>
    <w:p w14:paraId="18666C26" w14:textId="353C3799" w:rsidR="00D9409E" w:rsidRPr="00D9409E" w:rsidRDefault="00D9409E" w:rsidP="00D9409E">
      <w:pPr>
        <w:pStyle w:val="xxmsonormal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 xml:space="preserve">Actualmente, no se cuenta con datos que reflejen el incremento de residuos generados por la pandemia del COVID-19, debido a que los reportes operacionales de los rellenos sanitarios correspondiente a este año, se recibirán hasta el próximo año. </w:t>
      </w:r>
    </w:p>
    <w:p w14:paraId="2D34594C" w14:textId="77777777" w:rsidR="00D9409E" w:rsidRPr="00D9409E" w:rsidRDefault="00D9409E" w:rsidP="00D9409E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</w:p>
    <w:sectPr w:rsidR="00D9409E" w:rsidRPr="00D9409E" w:rsidSect="00A7473E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35A"/>
    <w:multiLevelType w:val="hybridMultilevel"/>
    <w:tmpl w:val="60260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4DA"/>
    <w:multiLevelType w:val="hybridMultilevel"/>
    <w:tmpl w:val="831EA290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440A0019" w:tentative="1">
      <w:start w:val="1"/>
      <w:numFmt w:val="lowerLetter"/>
      <w:lvlText w:val="%2."/>
      <w:lvlJc w:val="left"/>
      <w:pPr>
        <w:ind w:left="3066" w:hanging="360"/>
      </w:pPr>
    </w:lvl>
    <w:lvl w:ilvl="2" w:tplc="440A001B" w:tentative="1">
      <w:start w:val="1"/>
      <w:numFmt w:val="lowerRoman"/>
      <w:lvlText w:val="%3."/>
      <w:lvlJc w:val="right"/>
      <w:pPr>
        <w:ind w:left="3786" w:hanging="180"/>
      </w:pPr>
    </w:lvl>
    <w:lvl w:ilvl="3" w:tplc="440A000F" w:tentative="1">
      <w:start w:val="1"/>
      <w:numFmt w:val="decimal"/>
      <w:lvlText w:val="%4."/>
      <w:lvlJc w:val="left"/>
      <w:pPr>
        <w:ind w:left="4506" w:hanging="360"/>
      </w:pPr>
    </w:lvl>
    <w:lvl w:ilvl="4" w:tplc="440A0019" w:tentative="1">
      <w:start w:val="1"/>
      <w:numFmt w:val="lowerLetter"/>
      <w:lvlText w:val="%5."/>
      <w:lvlJc w:val="left"/>
      <w:pPr>
        <w:ind w:left="5226" w:hanging="360"/>
      </w:pPr>
    </w:lvl>
    <w:lvl w:ilvl="5" w:tplc="440A001B" w:tentative="1">
      <w:start w:val="1"/>
      <w:numFmt w:val="lowerRoman"/>
      <w:lvlText w:val="%6."/>
      <w:lvlJc w:val="right"/>
      <w:pPr>
        <w:ind w:left="5946" w:hanging="180"/>
      </w:pPr>
    </w:lvl>
    <w:lvl w:ilvl="6" w:tplc="440A000F" w:tentative="1">
      <w:start w:val="1"/>
      <w:numFmt w:val="decimal"/>
      <w:lvlText w:val="%7."/>
      <w:lvlJc w:val="left"/>
      <w:pPr>
        <w:ind w:left="6666" w:hanging="360"/>
      </w:pPr>
    </w:lvl>
    <w:lvl w:ilvl="7" w:tplc="440A0019" w:tentative="1">
      <w:start w:val="1"/>
      <w:numFmt w:val="lowerLetter"/>
      <w:lvlText w:val="%8."/>
      <w:lvlJc w:val="left"/>
      <w:pPr>
        <w:ind w:left="7386" w:hanging="360"/>
      </w:pPr>
    </w:lvl>
    <w:lvl w:ilvl="8" w:tplc="440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 w15:restartNumberingAfterBreak="0">
    <w:nsid w:val="1E4879B3"/>
    <w:multiLevelType w:val="hybridMultilevel"/>
    <w:tmpl w:val="C4582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7104"/>
    <w:multiLevelType w:val="hybridMultilevel"/>
    <w:tmpl w:val="0EB824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6783"/>
    <w:multiLevelType w:val="hybridMultilevel"/>
    <w:tmpl w:val="E85E1D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0A13"/>
    <w:multiLevelType w:val="hybridMultilevel"/>
    <w:tmpl w:val="487294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77F83"/>
    <w:multiLevelType w:val="hybridMultilevel"/>
    <w:tmpl w:val="19BEF3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84882"/>
    <w:multiLevelType w:val="hybridMultilevel"/>
    <w:tmpl w:val="06C06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E"/>
    <w:rsid w:val="000402CD"/>
    <w:rsid w:val="00096958"/>
    <w:rsid w:val="00430343"/>
    <w:rsid w:val="00881339"/>
    <w:rsid w:val="00891954"/>
    <w:rsid w:val="009213EA"/>
    <w:rsid w:val="00B17442"/>
    <w:rsid w:val="00D9409E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46FD"/>
  <w15:chartTrackingRefBased/>
  <w15:docId w15:val="{0F3B3486-6FDB-47D7-89E3-EB3B964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9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9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xmsoplaintext">
    <w:name w:val="x_x_msoplaintext"/>
    <w:basedOn w:val="Normal"/>
    <w:rsid w:val="00D9409E"/>
    <w:pPr>
      <w:spacing w:after="0" w:line="240" w:lineRule="auto"/>
    </w:pPr>
    <w:rPr>
      <w:rFonts w:ascii="Calibri" w:hAnsi="Calibri" w:cs="Calibri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40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Ana Silvia Figueroa de Alvarenga</cp:lastModifiedBy>
  <cp:revision>2</cp:revision>
  <dcterms:created xsi:type="dcterms:W3CDTF">2020-10-12T20:28:00Z</dcterms:created>
  <dcterms:modified xsi:type="dcterms:W3CDTF">2020-10-12T20:28:00Z</dcterms:modified>
</cp:coreProperties>
</file>