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100FB0" w:rsidRPr="00182DE9" w:rsidTr="001D4AAE">
        <w:tc>
          <w:tcPr>
            <w:tcW w:w="2881" w:type="dxa"/>
            <w:hideMark/>
          </w:tcPr>
          <w:p w:rsidR="00100FB0" w:rsidRPr="00182DE9" w:rsidRDefault="00100FB0" w:rsidP="001D4AA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100FB0" w:rsidRPr="00182DE9" w:rsidRDefault="00100FB0" w:rsidP="001D4AA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182DE9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591FCA1" wp14:editId="7C95989B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100FB0" w:rsidRPr="00182DE9" w:rsidRDefault="00100FB0" w:rsidP="001D4AAE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00FB0" w:rsidRPr="00182DE9" w:rsidTr="001D4AAE">
        <w:tc>
          <w:tcPr>
            <w:tcW w:w="8644" w:type="dxa"/>
            <w:gridSpan w:val="3"/>
            <w:hideMark/>
          </w:tcPr>
          <w:p w:rsidR="00100FB0" w:rsidRPr="00182DE9" w:rsidRDefault="00100FB0" w:rsidP="001D4AAE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182DE9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100FB0" w:rsidRPr="00182DE9" w:rsidRDefault="00100FB0" w:rsidP="001D4AA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182DE9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100FB0" w:rsidRPr="00182DE9" w:rsidRDefault="00100FB0" w:rsidP="00100FB0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100FB0" w:rsidRPr="00182DE9" w:rsidRDefault="00100FB0" w:rsidP="00414599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RESOLUCIÓN NÚMERO SESENTA Y CUATRO, NÚMERO CORRELATIVO                        </w:t>
      </w:r>
      <w:r w:rsidRPr="00182DE9">
        <w:rPr>
          <w:rFonts w:ascii="Book Antiqua" w:hAnsi="Book Antiqua" w:cs="Times New Roman"/>
          <w:b/>
          <w:sz w:val="24"/>
          <w:szCs w:val="24"/>
        </w:rPr>
        <w:t>MIGOBDT-2018-0066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San Salvador, a las catorce horas del día treinta de abril de dos mil dieciocho. 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la señorita </w:t>
      </w:r>
      <w:r w:rsidR="00135683" w:rsidRPr="00182DE9">
        <w:rPr>
          <w:rFonts w:ascii="Book Antiqua" w:hAnsi="Book Antiqua" w:cs="Times New Roman"/>
          <w:b/>
          <w:color w:val="333333"/>
          <w:sz w:val="24"/>
          <w:szCs w:val="24"/>
          <w:shd w:val="clear" w:color="auto" w:fill="FFFFFF"/>
        </w:rPr>
        <w:t>------------------------------------</w:t>
      </w:r>
      <w:r w:rsidR="00414599" w:rsidRPr="00182DE9">
        <w:rPr>
          <w:rFonts w:ascii="Book Antiqua" w:hAnsi="Book Antiqua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414599" w:rsidRPr="00182DE9">
        <w:rPr>
          <w:rFonts w:ascii="Book Antiqua" w:hAnsi="Book Antiqua" w:cs="Times New Roman"/>
          <w:sz w:val="24"/>
          <w:szCs w:val="24"/>
        </w:rPr>
        <w:t xml:space="preserve">el día 20 de abril de 2018. 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En la cual requiere:</w:t>
      </w:r>
      <w:r w:rsidRPr="00182DE9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“</w:t>
      </w:r>
      <w:r w:rsidR="00414599" w:rsidRPr="00182DE9">
        <w:rPr>
          <w:rFonts w:ascii="Book Antiqua" w:hAnsi="Book Antiqua" w:cs="Helvetica"/>
          <w:color w:val="333333"/>
          <w:sz w:val="24"/>
          <w:szCs w:val="24"/>
        </w:rPr>
        <w:t xml:space="preserve">Políticas, planes, estrategias y programas ejecutados desde el 2009 a la fecha, en materia de promoción, cumplimiento y defensa de los Derechos Humanos en El Salvador.- Normativa nacional en relación a los Derechos Humanos.- Informes sobre los Derechos Humanos- Otra documentación relacionada a los Derechos Humanos” 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 II</w:t>
      </w:r>
      <w:r w:rsidRPr="00182DE9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III.</w:t>
      </w:r>
      <w:r w:rsidRPr="00182DE9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No obstante, es oportuno expresar que el acceso a la información pública es un derecho en el que se puede solicitar y recibir información que solamente sea generada, administrada o que se encuentre en poder de las instituciones públicas según sus competencias. En ese sentido, el artículo 62 de la LAIP, hace mención que: “Los entes obligados deberán entregar únicamente información que se encuentre en su poder (...)”. 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IV) </w:t>
      </w:r>
      <w:r w:rsidRPr="00182DE9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74348E" w:rsidRPr="00182DE9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Siendo oportuno manifestar que la </w:t>
      </w:r>
      <w:r w:rsidR="0074348E" w:rsidRPr="00182DE9">
        <w:rPr>
          <w:rFonts w:ascii="Book Antiqua" w:hAnsi="Book Antiqua"/>
          <w:sz w:val="24"/>
          <w:szCs w:val="24"/>
        </w:rPr>
        <w:t xml:space="preserve">Ley de la Procuraduría para la defensa de los derechos humanos establece en sus Art. 2 lo siguiente: </w:t>
      </w:r>
      <w:r w:rsidR="0074348E" w:rsidRPr="00182DE9">
        <w:rPr>
          <w:rFonts w:ascii="Book Antiqua" w:eastAsia="Times New Roman" w:hAnsi="Book Antiqua" w:cs="Times New Roman"/>
          <w:i/>
          <w:sz w:val="24"/>
          <w:szCs w:val="24"/>
          <w:lang w:eastAsia="es-ES"/>
        </w:rPr>
        <w:t>“</w:t>
      </w:r>
      <w:r w:rsidR="00414599" w:rsidRPr="00182DE9">
        <w:rPr>
          <w:rFonts w:ascii="Book Antiqua" w:hAnsi="Book Antiqua"/>
          <w:i/>
          <w:sz w:val="24"/>
          <w:szCs w:val="24"/>
        </w:rPr>
        <w:t xml:space="preserve">La Procuraduría es una institución integrante del Ministerio Público, de carácter permanente e independiente, con personalidad jurídica propia y autonomía administrativa, cuyo objeto será </w:t>
      </w:r>
      <w:r w:rsidR="00414599" w:rsidRPr="00182DE9">
        <w:rPr>
          <w:rFonts w:ascii="Book Antiqua" w:hAnsi="Book Antiqua"/>
          <w:b/>
          <w:sz w:val="24"/>
          <w:szCs w:val="24"/>
          <w:u w:val="single"/>
        </w:rPr>
        <w:t xml:space="preserve">el de velar por la protección, promoción y educación de los Derechos Humanos y por la vigencia irrestricta de los mismos. </w:t>
      </w:r>
      <w:r w:rsidR="00414599" w:rsidRPr="00182DE9">
        <w:rPr>
          <w:rFonts w:ascii="Book Antiqua" w:hAnsi="Book Antiqua"/>
          <w:i/>
          <w:sz w:val="24"/>
          <w:szCs w:val="24"/>
        </w:rPr>
        <w:t>Para los efectos de la presente ley se entenderá por derechos humanos los civiles y políticos, económicos, sociales y culturales y los de la tercera generación contemplados en la Constitución, Leyes y Tratados vigentes; así como los contenidos en declaraciones y principio</w:t>
      </w:r>
      <w:r w:rsidR="0074348E" w:rsidRPr="00182DE9">
        <w:rPr>
          <w:rFonts w:ascii="Book Antiqua" w:hAnsi="Book Antiqua"/>
          <w:i/>
          <w:sz w:val="24"/>
          <w:szCs w:val="24"/>
        </w:rPr>
        <w:t xml:space="preserve">s aprobados por la Organización. “(subrayado se ha agregado), </w:t>
      </w:r>
      <w:r w:rsidR="0074348E" w:rsidRPr="00182DE9">
        <w:rPr>
          <w:rFonts w:ascii="Book Antiqua" w:hAnsi="Book Antiqua"/>
          <w:sz w:val="24"/>
          <w:szCs w:val="24"/>
        </w:rPr>
        <w:t xml:space="preserve">nótese de ese modo que las atribuciones a las que se refiere la solicitante, son ejercidas por la mencionada institución.  </w:t>
      </w:r>
      <w:r w:rsidR="0074348E" w:rsidRPr="00182DE9">
        <w:rPr>
          <w:rFonts w:ascii="Book Antiqua" w:hAnsi="Book Antiqua"/>
          <w:b/>
          <w:sz w:val="24"/>
          <w:szCs w:val="24"/>
        </w:rPr>
        <w:t xml:space="preserve">V) </w:t>
      </w:r>
      <w:r w:rsidR="0074348E" w:rsidRPr="00182DE9">
        <w:rPr>
          <w:rFonts w:ascii="Book Antiqua" w:eastAsia="Times New Roman" w:hAnsi="Book Antiqua" w:cs="Times New Roman"/>
          <w:sz w:val="24"/>
          <w:szCs w:val="24"/>
          <w:lang w:eastAsia="es-ES"/>
        </w:rPr>
        <w:t>P</w:t>
      </w:r>
      <w:r w:rsidRPr="00182DE9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or lo que es procedente declarar en este acto la incompetencia de esta Unidad, para dar respuesta  a lo requerido, debiendo en virtud del Art. 68 de la LAIP,  orientar al solicitante para que dirija su petición ante la entidad competente de dar respuesta a lo requerido, que </w:t>
      </w:r>
      <w:r w:rsidRPr="00182DE9">
        <w:rPr>
          <w:rFonts w:ascii="Book Antiqua" w:eastAsia="Times New Roman" w:hAnsi="Book Antiqua" w:cs="Times New Roman"/>
          <w:sz w:val="24"/>
          <w:szCs w:val="24"/>
          <w:lang w:eastAsia="es-ES"/>
        </w:rPr>
        <w:lastRenderedPageBreak/>
        <w:t xml:space="preserve">puede ser la Unidad de </w:t>
      </w:r>
      <w:r w:rsidR="0074348E" w:rsidRPr="00182DE9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Acceso a la Información Pública de </w:t>
      </w:r>
      <w:r w:rsidR="0074348E" w:rsidRPr="00182DE9">
        <w:rPr>
          <w:rFonts w:ascii="Book Antiqua" w:hAnsi="Book Antiqua"/>
          <w:sz w:val="24"/>
          <w:szCs w:val="24"/>
        </w:rPr>
        <w:t>Procuraduría para la defensa de los derechos humanos</w:t>
      </w:r>
      <w:r w:rsidR="0037266F" w:rsidRPr="00182DE9">
        <w:rPr>
          <w:rFonts w:ascii="Book Antiqua" w:hAnsi="Book Antiqua"/>
          <w:sz w:val="24"/>
          <w:szCs w:val="24"/>
        </w:rPr>
        <w:t xml:space="preserve">. 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Arts. 2, 7, 9, 50, 62 y 72 de la Ley de Acceso a la Información Pública, esta dependencia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, RESUELVE: 1°</w:t>
      </w:r>
      <w:r w:rsidRPr="00182DE9">
        <w:rPr>
          <w:rFonts w:ascii="Book Antiqua" w:hAnsi="Book Antiqua"/>
          <w:sz w:val="24"/>
          <w:szCs w:val="24"/>
        </w:rPr>
        <w:t xml:space="preserve"> 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Declararse  la  incompetencia de  </w:t>
      </w:r>
      <w:r w:rsidR="0074348E"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esta 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UAIP  para atender  y dar  respuesta  a  la  petición r</w:t>
      </w:r>
      <w:r w:rsidR="0037266F"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elacionada  en  el  preámbulo. 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2°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HABILÍTESE 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el derecho a recurrir conforme al Art. 82 de la Ley de Acceso a la Información.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3° REMITASE </w:t>
      </w:r>
      <w:r w:rsidRPr="00182DE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presente por medio señalado para tal efecto.</w:t>
      </w:r>
      <w:r w:rsidRPr="00182DE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NOTIFIQUESE.</w:t>
      </w:r>
    </w:p>
    <w:p w:rsidR="00100FB0" w:rsidRPr="00182DE9" w:rsidRDefault="00100FB0" w:rsidP="00100FB0">
      <w:pPr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100FB0" w:rsidRPr="00182DE9" w:rsidRDefault="00100FB0" w:rsidP="00100FB0">
      <w:pPr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100FB0" w:rsidRPr="00182DE9" w:rsidRDefault="00100FB0" w:rsidP="00100FB0">
      <w:pPr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100FB0" w:rsidRPr="00182DE9" w:rsidRDefault="00100FB0" w:rsidP="00100FB0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182DE9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100FB0" w:rsidRPr="00182DE9" w:rsidRDefault="00100FB0" w:rsidP="00100FB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182DE9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100FB0" w:rsidRPr="00182DE9" w:rsidRDefault="00100FB0" w:rsidP="00100FB0">
      <w:pPr>
        <w:rPr>
          <w:rFonts w:ascii="Book Antiqua" w:hAnsi="Book Antiqua"/>
          <w:sz w:val="24"/>
          <w:szCs w:val="24"/>
          <w:lang w:val="es-ES_tradnl"/>
        </w:rPr>
      </w:pPr>
    </w:p>
    <w:p w:rsidR="00100FB0" w:rsidRPr="00182DE9" w:rsidRDefault="00100FB0" w:rsidP="00100FB0">
      <w:pPr>
        <w:rPr>
          <w:rFonts w:ascii="Book Antiqua" w:hAnsi="Book Antiqua"/>
          <w:sz w:val="24"/>
          <w:szCs w:val="24"/>
          <w:lang w:val="es-ES_tradnl"/>
        </w:rPr>
      </w:pPr>
    </w:p>
    <w:p w:rsidR="00100FB0" w:rsidRPr="00182DE9" w:rsidRDefault="00100FB0" w:rsidP="00100FB0">
      <w:pPr>
        <w:rPr>
          <w:rFonts w:ascii="Book Antiqua" w:hAnsi="Book Antiqua"/>
          <w:sz w:val="24"/>
          <w:szCs w:val="24"/>
          <w:lang w:val="es-ES_tradnl"/>
        </w:rPr>
      </w:pPr>
    </w:p>
    <w:p w:rsidR="00F56DF2" w:rsidRPr="00182DE9" w:rsidRDefault="00F56DF2">
      <w:pPr>
        <w:rPr>
          <w:rFonts w:ascii="Book Antiqua" w:hAnsi="Book Antiqua"/>
          <w:sz w:val="24"/>
          <w:szCs w:val="24"/>
          <w:lang w:val="es-ES_tradnl"/>
        </w:rPr>
      </w:pPr>
    </w:p>
    <w:sectPr w:rsidR="00F56DF2" w:rsidRPr="00182DE9" w:rsidSect="00F50FD5">
      <w:headerReference w:type="default" r:id="rId9"/>
      <w:footerReference w:type="default" r:id="rId10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32" w:rsidRDefault="000C0332">
      <w:pPr>
        <w:spacing w:after="0" w:line="240" w:lineRule="auto"/>
      </w:pPr>
      <w:r>
        <w:separator/>
      </w:r>
    </w:p>
  </w:endnote>
  <w:endnote w:type="continuationSeparator" w:id="0">
    <w:p w:rsidR="000C0332" w:rsidRDefault="000C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37266F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37266F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37266F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37266F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2B489C0" wp14:editId="73157AB1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0C0332" w:rsidP="0068355C">
    <w:pPr>
      <w:pStyle w:val="Piedepgina"/>
    </w:pPr>
  </w:p>
  <w:p w:rsidR="0068355C" w:rsidRDefault="000C0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32" w:rsidRDefault="000C0332">
      <w:pPr>
        <w:spacing w:after="0" w:line="240" w:lineRule="auto"/>
      </w:pPr>
      <w:r>
        <w:separator/>
      </w:r>
    </w:p>
  </w:footnote>
  <w:footnote w:type="continuationSeparator" w:id="0">
    <w:p w:rsidR="000C0332" w:rsidRDefault="000C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1C" w:rsidRPr="00182DE9" w:rsidRDefault="00135683" w:rsidP="00182DE9">
    <w:pPr>
      <w:pStyle w:val="Encabezado"/>
      <w:jc w:val="both"/>
      <w:rPr>
        <w:rFonts w:ascii="Book Antiqua" w:hAnsi="Book Antiqua"/>
        <w:color w:val="FF0000"/>
      </w:rPr>
    </w:pPr>
    <w:r w:rsidRPr="00182DE9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182DE9" w:rsidRPr="00182DE9">
      <w:rPr>
        <w:rFonts w:ascii="Book Antiqua" w:hAnsi="Book Antiqua"/>
        <w:color w:val="FF0000"/>
      </w:rPr>
      <w:t>.</w:t>
    </w:r>
  </w:p>
  <w:p w:rsidR="00182DE9" w:rsidRDefault="00182DE9">
    <w:pPr>
      <w:pStyle w:val="Encabezado"/>
      <w:rPr>
        <w:color w:val="FF0000"/>
      </w:rPr>
    </w:pPr>
  </w:p>
  <w:p w:rsidR="00182DE9" w:rsidRPr="00135683" w:rsidRDefault="00182DE9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B0"/>
    <w:rsid w:val="000C0332"/>
    <w:rsid w:val="00100FB0"/>
    <w:rsid w:val="00135683"/>
    <w:rsid w:val="00182DE9"/>
    <w:rsid w:val="0037266F"/>
    <w:rsid w:val="00414599"/>
    <w:rsid w:val="0074348E"/>
    <w:rsid w:val="00F04530"/>
    <w:rsid w:val="00F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0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FB0"/>
  </w:style>
  <w:style w:type="paragraph" w:styleId="Encabezado">
    <w:name w:val="header"/>
    <w:basedOn w:val="Normal"/>
    <w:link w:val="EncabezadoCar"/>
    <w:uiPriority w:val="99"/>
    <w:unhideWhenUsed/>
    <w:rsid w:val="00100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FB0"/>
  </w:style>
  <w:style w:type="paragraph" w:styleId="NormalWeb">
    <w:name w:val="Normal (Web)"/>
    <w:basedOn w:val="Normal"/>
    <w:uiPriority w:val="99"/>
    <w:semiHidden/>
    <w:unhideWhenUsed/>
    <w:rsid w:val="0041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0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FB0"/>
  </w:style>
  <w:style w:type="paragraph" w:styleId="Encabezado">
    <w:name w:val="header"/>
    <w:basedOn w:val="Normal"/>
    <w:link w:val="EncabezadoCar"/>
    <w:uiPriority w:val="99"/>
    <w:unhideWhenUsed/>
    <w:rsid w:val="00100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FB0"/>
  </w:style>
  <w:style w:type="paragraph" w:styleId="NormalWeb">
    <w:name w:val="Normal (Web)"/>
    <w:basedOn w:val="Normal"/>
    <w:uiPriority w:val="99"/>
    <w:semiHidden/>
    <w:unhideWhenUsed/>
    <w:rsid w:val="0041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257C-1489-48BF-B74D-D4C66AC4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2018-04-30T20:56:00Z</cp:lastPrinted>
  <dcterms:created xsi:type="dcterms:W3CDTF">2018-04-30T20:00:00Z</dcterms:created>
  <dcterms:modified xsi:type="dcterms:W3CDTF">2018-06-19T16:03:00Z</dcterms:modified>
</cp:coreProperties>
</file>