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A601888" wp14:editId="7399D6B2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2615630" cy="1130061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F45BB3" w:rsidRPr="002C176F" w:rsidRDefault="00F45BB3" w:rsidP="00F45BB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45BB3" w:rsidRPr="00A46648" w:rsidRDefault="00F45BB3" w:rsidP="00F45B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zCs w:val="21"/>
          <w:shd w:val="clear" w:color="auto" w:fill="FFFFFF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SETENTA Y TRES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quince </w:t>
      </w:r>
      <w:r w:rsidRPr="002C176F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y quince 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seis </w:t>
      </w:r>
      <w:r w:rsidRPr="002C176F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 xml:space="preserve">octubre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8D39F0">
        <w:rPr>
          <w:rFonts w:ascii="Book Antiqua" w:hAnsi="Book Antiqua"/>
          <w:lang w:val="es-ES" w:eastAsia="es-ES"/>
        </w:rPr>
        <w:t>Téngase por recibida la solicitud de información ingresada por medi</w:t>
      </w:r>
      <w:r>
        <w:rPr>
          <w:rFonts w:ascii="Book Antiqua" w:hAnsi="Book Antiqua"/>
          <w:lang w:val="es-ES" w:eastAsia="es-ES"/>
        </w:rPr>
        <w:t>o correo electrónico, en esta fecha, a nombre del señor</w:t>
      </w:r>
      <w:r>
        <w:rPr>
          <w:rFonts w:ascii="Book Antiqua" w:hAnsi="Book Antiqua"/>
          <w:b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****</w:t>
      </w:r>
      <w:bookmarkStart w:id="0" w:name="_GoBack"/>
      <w:bookmarkEnd w:id="0"/>
      <w:r>
        <w:rPr>
          <w:rFonts w:ascii="Book Antiqua" w:hAnsi="Book Antiqua"/>
        </w:rPr>
        <w:t xml:space="preserve">, </w:t>
      </w:r>
      <w:r w:rsidRPr="00A46648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A46648">
        <w:rPr>
          <w:rFonts w:ascii="Book Antiqua" w:hAnsi="Book Antiqua"/>
          <w:b/>
          <w:lang w:val="es-ES" w:eastAsia="es-ES"/>
        </w:rPr>
        <w:t>MIGOBDT-2020-00</w:t>
      </w:r>
      <w:r>
        <w:rPr>
          <w:rFonts w:ascii="Book Antiqua" w:hAnsi="Book Antiqua"/>
          <w:b/>
          <w:lang w:val="es-ES" w:eastAsia="es-ES"/>
        </w:rPr>
        <w:t>83</w:t>
      </w:r>
      <w:r w:rsidRPr="00A46648">
        <w:rPr>
          <w:rFonts w:ascii="Book Antiqua" w:hAnsi="Book Antiqua"/>
          <w:shd w:val="clear" w:color="auto" w:fill="FFFFFF"/>
        </w:rPr>
        <w:t xml:space="preserve">, en la que esencial y textualmente requiere: </w:t>
      </w:r>
      <w:r w:rsidRPr="00A46648">
        <w:rPr>
          <w:rFonts w:ascii="Book Antiqua" w:hAnsi="Book Antiqua"/>
          <w:i/>
          <w:shd w:val="clear" w:color="auto" w:fill="FFFFFF"/>
        </w:rPr>
        <w:t>“Asociaciones de Desarrollo Comunal (ADESCO) a nivel nacional desde el año 2000 a 2020 (...).”</w:t>
      </w:r>
      <w:r>
        <w:rPr>
          <w:rFonts w:ascii="Book Antiqua" w:hAnsi="Book Antiqua"/>
          <w:i/>
          <w:shd w:val="clear" w:color="auto" w:fill="FFFFFF"/>
        </w:rPr>
        <w:t xml:space="preserve"> </w:t>
      </w:r>
      <w:r w:rsidRPr="00A46648">
        <w:rPr>
          <w:rFonts w:ascii="Book Antiqua" w:hAnsi="Book Antiqua"/>
          <w:b/>
          <w:i/>
          <w:shd w:val="clear" w:color="auto" w:fill="FFFFFF"/>
        </w:rPr>
        <w:t>II)</w:t>
      </w:r>
      <w:r>
        <w:rPr>
          <w:rFonts w:ascii="Book Antiqua" w:hAnsi="Book Antiqua"/>
          <w:i/>
          <w:shd w:val="clear" w:color="auto" w:fill="FFFFFF"/>
        </w:rPr>
        <w:t xml:space="preserve"> </w:t>
      </w:r>
      <w:r w:rsidRPr="00383130">
        <w:rPr>
          <w:rFonts w:ascii="Book Antiqua" w:hAnsi="Book Antiqua" w:cs="Helvetica"/>
          <w:szCs w:val="21"/>
          <w:shd w:val="clear" w:color="auto" w:fill="FFFFFF"/>
        </w:rPr>
        <w:t>Que según el Art. 119 del Código Municipal “</w:t>
      </w:r>
      <w:r w:rsidRPr="00383130">
        <w:rPr>
          <w:rFonts w:ascii="Book Antiqua" w:hAnsi="Book Antiqua"/>
          <w:i/>
        </w:rPr>
        <w:t>Las asociaciones comunales, tendrán personalidad jurídica otorgada por el Concejo respectivo</w:t>
      </w:r>
      <w:r w:rsidRPr="00383130">
        <w:rPr>
          <w:rFonts w:ascii="Book Antiqua" w:hAnsi="Book Antiqua"/>
        </w:rPr>
        <w:t xml:space="preserve">”, por lo que </w:t>
      </w:r>
      <w:r w:rsidRPr="00383130">
        <w:rPr>
          <w:rFonts w:ascii="Book Antiqua" w:hAnsi="Book Antiqua" w:cs="Helvetica"/>
          <w:shd w:val="clear" w:color="auto" w:fill="FFFFFF"/>
        </w:rPr>
        <w:t>la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 información solicitada en esta oportunidad no es generada ni administrada por esta Institución, en consecuencia es procedente declarar en este acto la incompetencia de esta Unidad para dar respuesta a lo requerido, debiendo orientar al solicitante a que dirija su petición ante las Unidades de Acceso a la Información Públi</w:t>
      </w:r>
      <w:r>
        <w:rPr>
          <w:rFonts w:ascii="Book Antiqua" w:hAnsi="Book Antiqua" w:cs="Helvetica"/>
          <w:szCs w:val="21"/>
          <w:shd w:val="clear" w:color="auto" w:fill="FFFFFF"/>
        </w:rPr>
        <w:t xml:space="preserve">ca de las Alcaldías Municipales. </w:t>
      </w:r>
      <w:r w:rsidRPr="00A46648">
        <w:rPr>
          <w:rFonts w:ascii="Book Antiqua" w:hAnsi="Book Antiqua" w:cs="Helvetica"/>
          <w:b/>
          <w:szCs w:val="21"/>
          <w:shd w:val="clear" w:color="auto" w:fill="FFFFFF"/>
        </w:rPr>
        <w:t>III)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</w:t>
      </w:r>
      <w:r w:rsidRPr="00B506A8">
        <w:rPr>
          <w:rFonts w:ascii="Book Antiqua" w:hAnsi="Book Antiqua" w:cs="Helvetica"/>
          <w:shd w:val="clear" w:color="auto" w:fill="FFFFFF"/>
        </w:rPr>
        <w:t>Que el Inciso 2° del Art. 68 de la L</w:t>
      </w:r>
      <w:r>
        <w:rPr>
          <w:rFonts w:ascii="Book Antiqua" w:hAnsi="Book Antiqua" w:cs="Helvetica"/>
          <w:shd w:val="clear" w:color="auto" w:fill="FFFFFF"/>
        </w:rPr>
        <w:t xml:space="preserve">ey de </w:t>
      </w:r>
      <w:r w:rsidRPr="00B506A8">
        <w:rPr>
          <w:rFonts w:ascii="Book Antiqua" w:hAnsi="Book Antiqua" w:cs="Helvetica"/>
          <w:shd w:val="clear" w:color="auto" w:fill="FFFFFF"/>
        </w:rPr>
        <w:t>A</w:t>
      </w:r>
      <w:r>
        <w:rPr>
          <w:rFonts w:ascii="Book Antiqua" w:hAnsi="Book Antiqua" w:cs="Helvetica"/>
          <w:shd w:val="clear" w:color="auto" w:fill="FFFFFF"/>
        </w:rPr>
        <w:t xml:space="preserve">cceso a la </w:t>
      </w:r>
      <w:r w:rsidRPr="00B506A8">
        <w:rPr>
          <w:rFonts w:ascii="Book Antiqua" w:hAnsi="Book Antiqua" w:cs="Helvetica"/>
          <w:shd w:val="clear" w:color="auto" w:fill="FFFFFF"/>
        </w:rPr>
        <w:t>I</w:t>
      </w:r>
      <w:r>
        <w:rPr>
          <w:rFonts w:ascii="Book Antiqua" w:hAnsi="Book Antiqua" w:cs="Helvetica"/>
          <w:shd w:val="clear" w:color="auto" w:fill="FFFFFF"/>
        </w:rPr>
        <w:t xml:space="preserve">nformación </w:t>
      </w:r>
      <w:r w:rsidRPr="00B506A8">
        <w:rPr>
          <w:rFonts w:ascii="Book Antiqua" w:hAnsi="Book Antiqua" w:cs="Helvetica"/>
          <w:shd w:val="clear" w:color="auto" w:fill="FFFFFF"/>
        </w:rPr>
        <w:t>P</w:t>
      </w:r>
      <w:r>
        <w:rPr>
          <w:rFonts w:ascii="Book Antiqua" w:hAnsi="Book Antiqua" w:cs="Helvetica"/>
          <w:shd w:val="clear" w:color="auto" w:fill="FFFFFF"/>
        </w:rPr>
        <w:t xml:space="preserve">ublica </w:t>
      </w:r>
      <w:r w:rsidRPr="00B506A8">
        <w:rPr>
          <w:rFonts w:ascii="Book Antiqua" w:hAnsi="Book Antiqua" w:cs="Helvetica"/>
          <w:shd w:val="clear" w:color="auto" w:fill="FFFFFF"/>
        </w:rPr>
        <w:t>expresa que “</w:t>
      </w:r>
      <w:r w:rsidRPr="00B506A8">
        <w:rPr>
          <w:rFonts w:ascii="Book Antiqua" w:hAnsi="Book Antiqua" w:cs="Helvetica"/>
          <w:i/>
          <w:shd w:val="clear" w:color="auto" w:fill="FFFFFF"/>
        </w:rPr>
        <w:t xml:space="preserve">Cuando una solicitud de información sea dirigida a un ente obligado distinto del competente, éste deberá informar al interesado la entidad a la que debe dirigirse”. </w:t>
      </w:r>
      <w:r w:rsidRPr="00B506A8">
        <w:rPr>
          <w:rFonts w:ascii="Book Antiqua" w:hAnsi="Book Antiqua" w:cs="Helvetica"/>
          <w:shd w:val="clear" w:color="auto" w:fill="FFFFFF"/>
        </w:rPr>
        <w:t>Asimismo el Art. 49 del Reglamento de la LAIP establece que “</w:t>
      </w:r>
      <w:r w:rsidRPr="00B506A8">
        <w:rPr>
          <w:rFonts w:ascii="Book Antiqua" w:hAnsi="Book Antiqua" w:cs="Helvetica"/>
          <w:i/>
          <w:shd w:val="clear" w:color="auto" w:fill="FFFFFF"/>
        </w:rPr>
        <w:t>las Unidades de Acceso a la Información Pública que reciban una solicitud de acceso a la información que no corresponda a su respectiva institución, deberán auxiliar y orientar a los particulares, a través del medio que esos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 w:rsidRPr="00B506A8">
        <w:rPr>
          <w:rFonts w:ascii="Book Antiqua" w:hAnsi="Book Antiqua" w:cs="Helvetica"/>
          <w:shd w:val="clear" w:color="auto" w:fill="FFFFFF"/>
        </w:rPr>
        <w:t>”</w:t>
      </w:r>
      <w:r>
        <w:rPr>
          <w:rFonts w:ascii="Book Antiqua" w:hAnsi="Book Antiqua"/>
          <w:lang w:eastAsia="es-ES"/>
        </w:rPr>
        <w:t>.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</w:t>
      </w: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 xml:space="preserve">conforme a los Art. 86 Inc. 3° de la Constitución y en base al derecho que le asiste a la solicitante </w:t>
      </w:r>
      <w:r>
        <w:rPr>
          <w:rFonts w:ascii="Book Antiqua" w:hAnsi="Book Antiqua"/>
          <w:lang w:val="es-ES" w:eastAsia="es-ES"/>
        </w:rPr>
        <w:t xml:space="preserve">enunciado en los Arts. 2, 7, 9, 50 y 68 </w:t>
      </w:r>
      <w:r w:rsidRPr="00383130">
        <w:rPr>
          <w:rFonts w:ascii="Book Antiqua" w:hAnsi="Book Antiqua"/>
          <w:lang w:val="es-ES" w:eastAsia="es-ES"/>
        </w:rPr>
        <w:t>de la Ley de Acceso a la Información Pública, esta Dependencia</w:t>
      </w:r>
      <w:r w:rsidRPr="00383130">
        <w:rPr>
          <w:rFonts w:ascii="Book Antiqua" w:hAnsi="Book Antiqua"/>
          <w:b/>
          <w:lang w:val="es-ES" w:eastAsia="es-ES"/>
        </w:rPr>
        <w:t>, RESUELVE: 1°</w:t>
      </w:r>
      <w:r w:rsidRPr="00383130">
        <w:rPr>
          <w:rFonts w:ascii="Book Antiqua" w:hAnsi="Book Antiqua"/>
        </w:rPr>
        <w:t xml:space="preserve"> </w:t>
      </w:r>
      <w:r w:rsidRPr="00383130">
        <w:rPr>
          <w:rFonts w:ascii="Book Antiqua" w:hAnsi="Book Antiqua"/>
          <w:b/>
          <w:lang w:val="es-ES" w:eastAsia="es-ES"/>
        </w:rPr>
        <w:t>Declárese</w:t>
      </w:r>
      <w:r w:rsidRPr="00383130">
        <w:rPr>
          <w:rFonts w:ascii="Book Antiqua" w:hAnsi="Book Antiqua"/>
          <w:lang w:val="es-ES" w:eastAsia="es-ES"/>
        </w:rPr>
        <w:t xml:space="preserve"> la incompetencia de esta UAIP para atender y dar respuesta a la petición relacionada en el Romano I de la presente Resolución. </w:t>
      </w:r>
      <w:r w:rsidRPr="00383130">
        <w:rPr>
          <w:rFonts w:ascii="Book Antiqua" w:hAnsi="Book Antiqua"/>
          <w:b/>
          <w:lang w:val="es-ES" w:eastAsia="es-ES"/>
        </w:rPr>
        <w:t>2°</w:t>
      </w:r>
      <w:r w:rsidRPr="00383130">
        <w:rPr>
          <w:rFonts w:ascii="Book Antiqua" w:hAnsi="Book Antiqua"/>
          <w:lang w:val="es-ES" w:eastAsia="es-ES"/>
        </w:rPr>
        <w:t xml:space="preserve"> </w:t>
      </w:r>
      <w:r w:rsidRPr="00383130">
        <w:rPr>
          <w:rFonts w:ascii="Book Antiqua" w:hAnsi="Book Antiqua" w:cs="Helvetica"/>
          <w:b/>
          <w:szCs w:val="21"/>
          <w:shd w:val="clear" w:color="auto" w:fill="FFFFFF"/>
        </w:rPr>
        <w:t xml:space="preserve">Oriéntese </w:t>
      </w:r>
      <w:r>
        <w:rPr>
          <w:rFonts w:ascii="Book Antiqua" w:hAnsi="Book Antiqua" w:cs="Helvetica"/>
          <w:szCs w:val="21"/>
          <w:shd w:val="clear" w:color="auto" w:fill="FFFFFF"/>
        </w:rPr>
        <w:t xml:space="preserve">al ciudadano 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a </w:t>
      </w:r>
      <w:r w:rsidRPr="00383130">
        <w:rPr>
          <w:rFonts w:ascii="Book Antiqua" w:hAnsi="Book Antiqua" w:cs="Helvetica"/>
          <w:szCs w:val="21"/>
          <w:shd w:val="clear" w:color="auto" w:fill="FFFFFF"/>
        </w:rPr>
        <w:lastRenderedPageBreak/>
        <w:t>que haga uso de su Derecho de Acceso a la Información, respecto a las ADESCOS, ante las UA</w:t>
      </w:r>
      <w:r>
        <w:rPr>
          <w:rFonts w:ascii="Book Antiqua" w:hAnsi="Book Antiqua" w:cs="Helvetica"/>
          <w:szCs w:val="21"/>
          <w:shd w:val="clear" w:color="auto" w:fill="FFFFFF"/>
        </w:rPr>
        <w:t xml:space="preserve">IP de las Alcaldías Municipales. </w:t>
      </w:r>
      <w:r w:rsidRPr="00383130">
        <w:rPr>
          <w:rFonts w:ascii="Book Antiqua" w:hAnsi="Book Antiqua" w:cs="Helvetica"/>
          <w:b/>
          <w:szCs w:val="21"/>
          <w:shd w:val="clear" w:color="auto" w:fill="FFFFFF"/>
        </w:rPr>
        <w:t>3°</w:t>
      </w:r>
      <w:r w:rsidRPr="00383130">
        <w:rPr>
          <w:rFonts w:ascii="Book Antiqua" w:hAnsi="Book Antiqua"/>
          <w:b/>
          <w:lang w:val="es-ES" w:eastAsia="es-ES"/>
        </w:rPr>
        <w:t xml:space="preserve"> Habilítese </w:t>
      </w:r>
      <w:r w:rsidRPr="00383130">
        <w:rPr>
          <w:rFonts w:ascii="Book Antiqua" w:hAnsi="Book Antiqua"/>
          <w:lang w:val="es-ES" w:eastAsia="es-ES"/>
        </w:rPr>
        <w:t>a la solicitante su derecho a recurrir conforme al Art. 82 de la Ley de Acceso a la Información.</w:t>
      </w:r>
      <w:r w:rsidRPr="00383130">
        <w:rPr>
          <w:rFonts w:ascii="Book Antiqua" w:hAnsi="Book Antiqua"/>
          <w:b/>
          <w:lang w:val="es-ES" w:eastAsia="es-ES"/>
        </w:rPr>
        <w:t xml:space="preserve"> 4° Remítase </w:t>
      </w:r>
      <w:r w:rsidRPr="00383130">
        <w:rPr>
          <w:rFonts w:ascii="Book Antiqua" w:hAnsi="Book Antiqua"/>
          <w:lang w:val="es-ES" w:eastAsia="es-ES"/>
        </w:rPr>
        <w:t>la presente por medio señalado para tal efecto.</w:t>
      </w:r>
      <w:r w:rsidRPr="00383130">
        <w:rPr>
          <w:rFonts w:ascii="Book Antiqua" w:hAnsi="Book Antiqua"/>
          <w:b/>
          <w:lang w:val="es-ES" w:eastAsia="es-ES"/>
        </w:rPr>
        <w:t xml:space="preserve"> NOTIFIQUESE.</w:t>
      </w:r>
    </w:p>
    <w:p w:rsidR="00F45BB3" w:rsidRDefault="00F45BB3" w:rsidP="00F45BB3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F45BB3" w:rsidRDefault="00F45BB3" w:rsidP="00F45BB3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F45BB3" w:rsidRDefault="00F45BB3" w:rsidP="00F45BB3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F45BB3" w:rsidRDefault="00F45BB3" w:rsidP="00F45BB3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F45BB3" w:rsidRPr="00383130" w:rsidRDefault="00F45BB3" w:rsidP="00F45BB3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F45BB3" w:rsidRPr="00383130" w:rsidRDefault="00F45BB3" w:rsidP="00F45BB3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F45BB3" w:rsidRPr="00383130" w:rsidRDefault="00F45BB3" w:rsidP="00F45BB3">
      <w:pPr>
        <w:jc w:val="center"/>
        <w:rPr>
          <w:b/>
        </w:rPr>
      </w:pPr>
    </w:p>
    <w:p w:rsidR="00F45BB3" w:rsidRDefault="00F45BB3" w:rsidP="00F45BB3"/>
    <w:p w:rsidR="00DD3B70" w:rsidRDefault="00F45BB3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B3"/>
    <w:rsid w:val="00876156"/>
    <w:rsid w:val="00E37341"/>
    <w:rsid w:val="00F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F45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F4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2020-12-11T20:52:00Z</dcterms:created>
  <dcterms:modified xsi:type="dcterms:W3CDTF">2020-12-11T20:53:00Z</dcterms:modified>
</cp:coreProperties>
</file>