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5" w:rsidRDefault="00D94D75" w:rsidP="00D94D75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FB18F89" wp14:editId="19DC56B6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D94D75" w:rsidRPr="002C176F" w:rsidRDefault="00D94D75" w:rsidP="00D94D75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D94D75" w:rsidRPr="002C5B29" w:rsidRDefault="00D94D75" w:rsidP="00D94D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hd w:val="clear" w:color="auto" w:fill="FFFFFF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OCHENTA Y UNO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</w:rPr>
        <w:t>catorce</w:t>
      </w:r>
      <w:r w:rsidRPr="002C176F">
        <w:rPr>
          <w:rFonts w:ascii="Book Antiqua" w:hAnsi="Book Antiqua"/>
        </w:rPr>
        <w:t xml:space="preserve"> horas</w:t>
      </w:r>
      <w:r>
        <w:rPr>
          <w:rFonts w:ascii="Book Antiqua" w:hAnsi="Book Antiqua"/>
        </w:rPr>
        <w:t xml:space="preserve"> y cuarenta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diecinueve de octubre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>Téngase por recibida la solicitud de información ingresada por med</w:t>
      </w:r>
      <w:r>
        <w:rPr>
          <w:rFonts w:ascii="Book Antiqua" w:hAnsi="Book Antiqua"/>
          <w:lang w:val="es-ES" w:eastAsia="es-ES"/>
        </w:rPr>
        <w:t xml:space="preserve">io correo electrónico, en fecha trece  de octubre </w:t>
      </w:r>
      <w:r w:rsidRPr="008D39F0">
        <w:rPr>
          <w:rFonts w:ascii="Book Antiqua" w:hAnsi="Book Antiqua"/>
          <w:lang w:val="es-ES" w:eastAsia="es-ES"/>
        </w:rPr>
        <w:t>de dos mil veinte, a nombre de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val="es-ES" w:eastAsia="es-ES"/>
        </w:rPr>
        <w:t>/////////</w:t>
      </w:r>
      <w:r w:rsidRPr="002B2C22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2B2C22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88 bis</w:t>
      </w:r>
      <w:r w:rsidRPr="002B2C22">
        <w:rPr>
          <w:rFonts w:ascii="Book Antiqua" w:hAnsi="Book Antiqua"/>
          <w:shd w:val="clear" w:color="auto" w:fill="FFFFFF"/>
        </w:rPr>
        <w:t>, en la que esen</w:t>
      </w:r>
      <w:r>
        <w:rPr>
          <w:rFonts w:ascii="Book Antiqua" w:hAnsi="Book Antiqua"/>
          <w:shd w:val="clear" w:color="auto" w:fill="FFFFFF"/>
        </w:rPr>
        <w:t>cial y textualmente requiere: “</w:t>
      </w:r>
      <w:r>
        <w:t>1) En que consiste las fases uno y dos del Plan Control Territorial 2) Que instituciones implementan la fase uno y dos del plan control territorial, con indicación de las actividades y estrategias que cada una realiza 3) Que programas se desarrollan en la fase uno y fase dos del plan control territorial 4) Cuanto es el monto invertido en la fase uno y dos del plan control territorial y cuáles son sus rubros, en los municipios donde se implementa</w:t>
      </w:r>
      <w:r>
        <w:rPr>
          <w:rFonts w:ascii="Book Antiqua" w:hAnsi="Book Antiqua"/>
          <w:shd w:val="clear" w:color="auto" w:fill="FFFFFF"/>
        </w:rPr>
        <w:t xml:space="preserve">. “  </w:t>
      </w:r>
      <w:r>
        <w:rPr>
          <w:rFonts w:ascii="Book Antiqua" w:hAnsi="Book Antiqua"/>
          <w:b/>
          <w:shd w:val="clear" w:color="auto" w:fill="FFFFFF"/>
        </w:rPr>
        <w:t xml:space="preserve">II) </w:t>
      </w:r>
      <w:r>
        <w:rPr>
          <w:rFonts w:ascii="Book Antiqua" w:hAnsi="Book Antiqua"/>
        </w:rPr>
        <w:t>Que al revisar las competencias que le atribuye el Reglamento Interno del Órgano Ejecutivo al Ministerio de Justicia y Seguridad, se encuentra en el Art. 35, que estipula: “1.</w:t>
      </w:r>
      <w:r w:rsidRPr="0086031B">
        <w:rPr>
          <w:rFonts w:ascii="Book Antiqua" w:hAnsi="Book Antiqua"/>
        </w:rPr>
        <w:t>Elaborar, en coordinación con los organismos que constitucionalmente tienen a su cargo asignadas las tareas relacionadas con la seguridad pública, los planteamientos y estrategias que integran la política de Estado sobre seguridad pública, debiendo incorporar obligatoriamente en los mismos, la prevención de la violencia y del delito, la rehabilitación y reinserción del delincuente y las medidas de represión necesarias para contrarrestar toda actividad delincuencia</w:t>
      </w:r>
      <w:r>
        <w:rPr>
          <w:rFonts w:ascii="Book Antiqua" w:hAnsi="Book Antiqua"/>
        </w:rPr>
        <w:t>l</w:t>
      </w:r>
      <w:r w:rsidRPr="0086031B">
        <w:rPr>
          <w:rFonts w:ascii="Book Antiqua" w:hAnsi="Book Antiqua"/>
        </w:rPr>
        <w:t>, con estricto apego a la Constitución de la República y en el debido cumplimiento de las ley</w:t>
      </w:r>
      <w:r>
        <w:rPr>
          <w:rFonts w:ascii="Book Antiqua" w:hAnsi="Book Antiqua"/>
        </w:rPr>
        <w:t xml:space="preserve">es secundarias correspondientes” en sentido, se concluye que es dicha Cartera de  Estado la que posee las facultades de elaboración y dirección del Plan Control Territorial.  En concordancia con el Art.  68 </w:t>
      </w:r>
      <w:proofErr w:type="spellStart"/>
      <w:r>
        <w:rPr>
          <w:rFonts w:ascii="Book Antiqua" w:hAnsi="Book Antiqua"/>
        </w:rPr>
        <w:t>inc</w:t>
      </w:r>
      <w:proofErr w:type="spellEnd"/>
      <w:r>
        <w:rPr>
          <w:rFonts w:ascii="Book Antiqua" w:hAnsi="Book Antiqua"/>
        </w:rPr>
        <w:t xml:space="preserve">  2° de la Ley de Acceso a la Información Pública, se faculta para comunicarle que puede dirigir su solicitud de información a dicha entidad.  III) Que no obstante lo expresado, </w:t>
      </w:r>
      <w:r w:rsidRPr="0086031B">
        <w:rPr>
          <w:rFonts w:ascii="Book Antiqua" w:hAnsi="Book Antiqua"/>
        </w:rPr>
        <w:t xml:space="preserve">conformidad al </w:t>
      </w:r>
      <w:r w:rsidRPr="0086031B">
        <w:rPr>
          <w:rFonts w:ascii="Book Antiqua" w:hAnsi="Book Antiqua"/>
        </w:rPr>
        <w:lastRenderedPageBreak/>
        <w:t xml:space="preserve">Art. 74 </w:t>
      </w:r>
      <w:r>
        <w:rPr>
          <w:rFonts w:ascii="Book Antiqua" w:hAnsi="Book Antiqua"/>
        </w:rPr>
        <w:t xml:space="preserve"> “b” </w:t>
      </w:r>
      <w:r w:rsidRPr="0086031B">
        <w:rPr>
          <w:rFonts w:ascii="Book Antiqua" w:hAnsi="Book Antiqua"/>
        </w:rPr>
        <w:t>de la citada normativa,</w:t>
      </w:r>
      <w:r>
        <w:rPr>
          <w:rFonts w:ascii="Book Antiqua" w:hAnsi="Book Antiqua"/>
        </w:rPr>
        <w:t xml:space="preserve"> hago de su conocimiento que </w:t>
      </w:r>
      <w:r w:rsidRPr="00D071FE">
        <w:rPr>
          <w:rFonts w:ascii="Book Antiqua" w:hAnsi="Book Antiqua"/>
        </w:rPr>
        <w:t xml:space="preserve">de manera oficiosa se encuentra publicado un documento con la denominación: “Propuesta de Financiamiento del Plan Control  Territorial” en cual describe de manera general los ejes, objetivos y ejecución por fases, que puede encontrar en sitio web del Ministerio de Hacienda, en el enlace: </w:t>
      </w:r>
      <w:hyperlink r:id="rId6" w:history="1">
        <w:r>
          <w:rPr>
            <w:rStyle w:val="Hipervnculo"/>
          </w:rPr>
          <w:t>https://www.mh.gob.sv/downloads/pdf/700-SEDE-PPX-2019-21299.pdf</w:t>
        </w:r>
      </w:hyperlink>
      <w:r>
        <w:t xml:space="preserve">. </w:t>
      </w:r>
      <w:r>
        <w:rPr>
          <w:rFonts w:ascii="Book Antiqua" w:hAnsi="Book Antiqua"/>
          <w:shd w:val="clear" w:color="auto" w:fill="FFFFFF"/>
        </w:rPr>
        <w:t xml:space="preserve">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86 Inciso 3° de la Constitución y 2, 7, 9, 50, 62 Inciso Segundo, 72 y 74 Letra b de la Ley de Acceso a la Información Pública, 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shd w:val="clear" w:color="auto" w:fill="FFFFFF"/>
        </w:rPr>
        <w:t xml:space="preserve">1°) </w:t>
      </w:r>
      <w:r w:rsidRPr="00B533B1">
        <w:rPr>
          <w:rFonts w:ascii="Book Antiqua" w:hAnsi="Book Antiqua" w:cs="Arial"/>
          <w:b/>
          <w:color w:val="000000"/>
        </w:rPr>
        <w:t>DECLÁRESE</w:t>
      </w:r>
      <w:r>
        <w:rPr>
          <w:rFonts w:ascii="Book Antiqua" w:hAnsi="Book Antiqua" w:cs="Arial"/>
          <w:color w:val="000000"/>
        </w:rPr>
        <w:t xml:space="preserve"> la incompetencia de esta UAIP para resolver la solicitud. </w:t>
      </w:r>
      <w:r>
        <w:rPr>
          <w:rFonts w:ascii="Book Antiqua" w:hAnsi="Book Antiqua"/>
          <w:shd w:val="clear" w:color="auto" w:fill="FFFFFF"/>
        </w:rPr>
        <w:t xml:space="preserve">2°) </w:t>
      </w:r>
      <w:r w:rsidRPr="002C176F">
        <w:rPr>
          <w:rFonts w:ascii="Book Antiqua" w:hAnsi="Book Antiqua"/>
          <w:b/>
          <w:lang w:val="es-ES" w:eastAsia="es-ES"/>
        </w:rPr>
        <w:t xml:space="preserve">Habilítese </w:t>
      </w:r>
      <w:r w:rsidRPr="002C176F">
        <w:rPr>
          <w:rFonts w:ascii="Book Antiqua" w:hAnsi="Book Antiqua"/>
          <w:lang w:val="es-ES" w:eastAsia="es-ES"/>
        </w:rPr>
        <w:t>al solicitante su derecho a recurrir conforme al Art. 82 de la Ley de A</w:t>
      </w:r>
      <w:r>
        <w:rPr>
          <w:rFonts w:ascii="Book Antiqua" w:hAnsi="Book Antiqua"/>
          <w:lang w:val="es-ES" w:eastAsia="es-ES"/>
        </w:rPr>
        <w:t xml:space="preserve">cceso a la Información Pública. 3°) </w:t>
      </w:r>
      <w:r w:rsidRPr="002C176F">
        <w:rPr>
          <w:rFonts w:ascii="Book Antiqua" w:hAnsi="Book Antiqua"/>
          <w:b/>
          <w:lang w:val="es-ES" w:eastAsia="es-ES"/>
        </w:rPr>
        <w:t>Remítase</w:t>
      </w:r>
      <w:r w:rsidRPr="002C176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D94D75" w:rsidRPr="002C176F" w:rsidRDefault="00D94D75" w:rsidP="00D94D75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94D75" w:rsidRPr="002C176F" w:rsidRDefault="00D94D75" w:rsidP="00D94D75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94D75" w:rsidRPr="002C176F" w:rsidRDefault="00D94D75" w:rsidP="00D94D75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94D75" w:rsidRPr="002C176F" w:rsidRDefault="00D94D75" w:rsidP="00D94D75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JENNI VANESSA QUINTANILLA GARCÍA</w:t>
      </w:r>
    </w:p>
    <w:p w:rsidR="00D94D75" w:rsidRPr="002C176F" w:rsidRDefault="00D94D75" w:rsidP="00D94D75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D94D75" w:rsidRPr="00D071FE" w:rsidRDefault="00D94D75" w:rsidP="00D94D75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D94D75" w:rsidRPr="002C176F" w:rsidRDefault="00D94D75" w:rsidP="00D94D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D94D75" w:rsidRDefault="00D94D75" w:rsidP="00D94D75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D94D75" w:rsidRPr="0022486B" w:rsidRDefault="00D94D75" w:rsidP="00D94D7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/>
          <w:lang w:val="es-ES" w:eastAsia="es-ES"/>
        </w:rPr>
        <w:t>N</w:t>
      </w:r>
      <w:bookmarkStart w:id="0" w:name="_GoBack"/>
      <w:bookmarkEnd w:id="0"/>
      <w:r>
        <w:rPr>
          <w:rFonts w:ascii="Book Antiqua" w:hAnsi="Book Antiqua" w:cs="Helvetica"/>
          <w:b/>
          <w:shd w:val="clear" w:color="auto" w:fill="FFFFFF"/>
        </w:rPr>
        <w:t xml:space="preserve">OTA: la versión de esta resolución reguarda los datos que se consideran confidenciales, de conformidad al Art. 30 de la Ley de Acceso a la Información Pública </w:t>
      </w:r>
    </w:p>
    <w:p w:rsidR="00DD3B70" w:rsidRDefault="00D94D7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5"/>
    <w:rsid w:val="00876156"/>
    <w:rsid w:val="00D94D7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D94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D9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h.gob.sv/downloads/pdf/700-SEDE-PPX-2019-2129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2020-12-23T19:59:00Z</dcterms:created>
  <dcterms:modified xsi:type="dcterms:W3CDTF">2020-12-23T20:03:00Z</dcterms:modified>
</cp:coreProperties>
</file>