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63" w:rsidRPr="002C176F" w:rsidRDefault="00B84763" w:rsidP="00B84763">
      <w:pPr>
        <w:spacing w:after="0"/>
        <w:jc w:val="center"/>
        <w:rPr>
          <w:rFonts w:ascii="Book Antiqua" w:hAnsi="Book Antiqua"/>
          <w:b/>
          <w:sz w:val="24"/>
          <w:szCs w:val="24"/>
        </w:rPr>
      </w:pPr>
      <w:r w:rsidRPr="008352EC">
        <w:rPr>
          <w:noProof/>
          <w:lang w:eastAsia="es-SV"/>
        </w:rPr>
        <w:drawing>
          <wp:anchor distT="0" distB="0" distL="114300" distR="114300" simplePos="0" relativeHeight="251659264" behindDoc="1" locked="0" layoutInCell="1" allowOverlap="1" wp14:anchorId="4FEFDAD4" wp14:editId="3FAAD4FA">
            <wp:simplePos x="0" y="0"/>
            <wp:positionH relativeFrom="column">
              <wp:posOffset>1504950</wp:posOffset>
            </wp:positionH>
            <wp:positionV relativeFrom="paragraph">
              <wp:posOffset>-46990</wp:posOffset>
            </wp:positionV>
            <wp:extent cx="2615565" cy="112966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B84763" w:rsidRPr="002C176F" w:rsidRDefault="00B84763" w:rsidP="00B84763">
      <w:pPr>
        <w:spacing w:after="0"/>
        <w:jc w:val="center"/>
        <w:rPr>
          <w:rFonts w:ascii="Book Antiqua" w:hAnsi="Book Antiqua"/>
          <w:b/>
          <w:sz w:val="24"/>
          <w:szCs w:val="24"/>
        </w:rPr>
      </w:pPr>
    </w:p>
    <w:p w:rsidR="00B84763" w:rsidRPr="002C176F" w:rsidRDefault="00B84763" w:rsidP="00B84763">
      <w:pPr>
        <w:spacing w:after="0"/>
        <w:jc w:val="center"/>
        <w:rPr>
          <w:rFonts w:ascii="Book Antiqua" w:hAnsi="Book Antiqua"/>
          <w:b/>
          <w:sz w:val="24"/>
          <w:szCs w:val="24"/>
        </w:rPr>
      </w:pPr>
    </w:p>
    <w:p w:rsidR="00B84763" w:rsidRPr="002C176F" w:rsidRDefault="00B84763" w:rsidP="00B84763">
      <w:pPr>
        <w:spacing w:after="0"/>
        <w:jc w:val="center"/>
        <w:rPr>
          <w:rFonts w:ascii="Book Antiqua" w:hAnsi="Book Antiqua"/>
          <w:b/>
          <w:sz w:val="24"/>
          <w:szCs w:val="24"/>
        </w:rPr>
      </w:pPr>
    </w:p>
    <w:p w:rsidR="00B84763" w:rsidRPr="002C176F" w:rsidRDefault="00B84763" w:rsidP="00B84763">
      <w:pPr>
        <w:spacing w:after="0"/>
        <w:jc w:val="center"/>
        <w:rPr>
          <w:rFonts w:ascii="Book Antiqua" w:hAnsi="Book Antiqua"/>
          <w:b/>
          <w:sz w:val="24"/>
          <w:szCs w:val="24"/>
        </w:rPr>
      </w:pPr>
    </w:p>
    <w:p w:rsidR="00B84763" w:rsidRDefault="00B84763" w:rsidP="00B84763">
      <w:pPr>
        <w:spacing w:after="0"/>
        <w:jc w:val="center"/>
        <w:rPr>
          <w:rFonts w:ascii="Book Antiqua" w:hAnsi="Book Antiqua"/>
          <w:b/>
          <w:sz w:val="24"/>
          <w:szCs w:val="24"/>
        </w:rPr>
      </w:pPr>
    </w:p>
    <w:p w:rsidR="00B84763" w:rsidRPr="002C176F" w:rsidRDefault="00B84763" w:rsidP="00B84763">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B84763" w:rsidRPr="002C176F" w:rsidRDefault="00B84763" w:rsidP="00B84763">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B84763" w:rsidRPr="002C176F" w:rsidRDefault="00B84763" w:rsidP="00B84763">
      <w:pPr>
        <w:spacing w:after="0"/>
        <w:jc w:val="center"/>
        <w:rPr>
          <w:rFonts w:ascii="Book Antiqua" w:hAnsi="Book Antiqua"/>
          <w:sz w:val="24"/>
          <w:szCs w:val="24"/>
        </w:rPr>
      </w:pPr>
    </w:p>
    <w:p w:rsidR="00B84763" w:rsidRPr="00F63ED3" w:rsidRDefault="00B84763" w:rsidP="00B84763">
      <w:pPr>
        <w:shd w:val="clear" w:color="auto" w:fill="FFFFFF"/>
        <w:spacing w:after="0" w:line="240" w:lineRule="auto"/>
        <w:jc w:val="both"/>
        <w:rPr>
          <w:rFonts w:ascii="Book Antiqua" w:hAnsi="Book Antiqua"/>
          <w:lang w:eastAsia="es-ES"/>
        </w:rPr>
      </w:pPr>
      <w:r w:rsidRPr="002C176F">
        <w:rPr>
          <w:rFonts w:ascii="Book Antiqua" w:hAnsi="Book Antiqua"/>
          <w:b/>
        </w:rPr>
        <w:t>RESOLUCIÓN NÚMERO</w:t>
      </w:r>
      <w:r>
        <w:rPr>
          <w:rFonts w:ascii="Book Antiqua" w:hAnsi="Book Antiqua"/>
          <w:b/>
        </w:rPr>
        <w:t xml:space="preserve"> NOVENTA. </w:t>
      </w:r>
      <w:r w:rsidRPr="002C176F">
        <w:rPr>
          <w:rFonts w:ascii="Book Antiqua" w:hAnsi="Book Antiqua"/>
          <w:lang w:val="es-ES" w:eastAsia="es-ES"/>
        </w:rPr>
        <w:t xml:space="preserve">En </w:t>
      </w:r>
      <w:r w:rsidRPr="002C176F">
        <w:rPr>
          <w:rFonts w:ascii="Book Antiqua" w:hAnsi="Book Antiqua"/>
        </w:rPr>
        <w:t>la Unidad de Acceso a la Información Pública del Ministerio de Gobernación y Desarrollo T</w:t>
      </w:r>
      <w:r>
        <w:rPr>
          <w:rFonts w:ascii="Book Antiqua" w:hAnsi="Book Antiqua"/>
        </w:rPr>
        <w:t xml:space="preserve">erritorial: San Salvador, a las trece </w:t>
      </w:r>
      <w:r w:rsidRPr="002C176F">
        <w:rPr>
          <w:rFonts w:ascii="Book Antiqua" w:hAnsi="Book Antiqua"/>
        </w:rPr>
        <w:t>horas</w:t>
      </w:r>
      <w:r>
        <w:rPr>
          <w:rFonts w:ascii="Book Antiqua" w:hAnsi="Book Antiqua"/>
        </w:rPr>
        <w:t xml:space="preserve"> y cuarenta </w:t>
      </w:r>
      <w:r w:rsidRPr="002C176F">
        <w:rPr>
          <w:rFonts w:ascii="Book Antiqua" w:hAnsi="Book Antiqua"/>
        </w:rPr>
        <w:t>minutos</w:t>
      </w:r>
      <w:r>
        <w:rPr>
          <w:rFonts w:ascii="Book Antiqua" w:hAnsi="Book Antiqua"/>
        </w:rPr>
        <w:t xml:space="preserve"> del día seis </w:t>
      </w:r>
      <w:r w:rsidRPr="002C176F">
        <w:rPr>
          <w:rFonts w:ascii="Book Antiqua" w:hAnsi="Book Antiqua"/>
        </w:rPr>
        <w:t>de</w:t>
      </w:r>
      <w:r>
        <w:rPr>
          <w:rFonts w:ascii="Book Antiqua" w:hAnsi="Book Antiqua"/>
        </w:rPr>
        <w:t xml:space="preserve"> noviembre </w:t>
      </w:r>
      <w:r w:rsidRPr="002C176F">
        <w:rPr>
          <w:rFonts w:ascii="Book Antiqua" w:hAnsi="Book Antiqua"/>
        </w:rPr>
        <w:t xml:space="preserve">de dos mil </w:t>
      </w:r>
      <w:r>
        <w:rPr>
          <w:rFonts w:ascii="Book Antiqua" w:hAnsi="Book Antiqua"/>
        </w:rPr>
        <w:t>veinte</w:t>
      </w:r>
      <w:r w:rsidRPr="002C176F">
        <w:rPr>
          <w:rFonts w:ascii="Book Antiqua" w:hAnsi="Book Antiqua"/>
        </w:rPr>
        <w:t xml:space="preserve">. </w:t>
      </w:r>
      <w:r w:rsidRPr="002C176F">
        <w:rPr>
          <w:rFonts w:ascii="Book Antiqua" w:hAnsi="Book Antiqua"/>
          <w:b/>
        </w:rPr>
        <w:t>CONSIDERANDO</w:t>
      </w:r>
      <w:r>
        <w:rPr>
          <w:rFonts w:ascii="Book Antiqua" w:hAnsi="Book Antiqua"/>
          <w:b/>
        </w:rPr>
        <w:t xml:space="preserve"> </w:t>
      </w:r>
      <w:r w:rsidRPr="0087484A">
        <w:rPr>
          <w:rFonts w:ascii="Book Antiqua" w:hAnsi="Book Antiqua"/>
        </w:rPr>
        <w:t>que:</w:t>
      </w:r>
      <w:r w:rsidRPr="002C176F">
        <w:rPr>
          <w:rFonts w:ascii="Book Antiqua" w:hAnsi="Book Antiqua"/>
          <w:b/>
        </w:rPr>
        <w:t xml:space="preserve"> </w:t>
      </w:r>
      <w:r>
        <w:rPr>
          <w:rFonts w:ascii="Book Antiqua" w:hAnsi="Book Antiqua"/>
          <w:b/>
        </w:rPr>
        <w:t xml:space="preserve">I) </w:t>
      </w:r>
      <w:r w:rsidRPr="008D39F0">
        <w:rPr>
          <w:rFonts w:ascii="Book Antiqua" w:hAnsi="Book Antiqua"/>
          <w:sz w:val="24"/>
          <w:szCs w:val="24"/>
          <w:lang w:val="es-ES" w:eastAsia="es-ES"/>
        </w:rPr>
        <w:t xml:space="preserve">Téngase por recibida la solicitud de información </w:t>
      </w:r>
      <w:r>
        <w:rPr>
          <w:rFonts w:ascii="Book Antiqua" w:hAnsi="Book Antiqua"/>
          <w:sz w:val="24"/>
          <w:szCs w:val="24"/>
          <w:lang w:val="es-ES" w:eastAsia="es-ES"/>
        </w:rPr>
        <w:t xml:space="preserve">en fecha siete de octubre de dos mil veinte, a nombre de </w:t>
      </w:r>
      <w:r>
        <w:rPr>
          <w:rFonts w:ascii="Book Antiqua" w:hAnsi="Book Antiqua"/>
          <w:b/>
          <w:lang w:val="es-ES" w:eastAsia="es-ES"/>
        </w:rPr>
        <w:t>******</w:t>
      </w:r>
      <w:bookmarkStart w:id="0" w:name="_GoBack"/>
      <w:bookmarkEnd w:id="0"/>
      <w:r>
        <w:rPr>
          <w:rFonts w:ascii="Book Antiqua" w:hAnsi="Book Antiqua"/>
          <w:lang w:val="es-ES" w:eastAsia="es-ES"/>
        </w:rPr>
        <w:t xml:space="preserve"> </w:t>
      </w:r>
      <w:r w:rsidRPr="002B2C22">
        <w:rPr>
          <w:rFonts w:ascii="Book Antiqua" w:hAnsi="Book Antiqua"/>
          <w:sz w:val="24"/>
          <w:szCs w:val="24"/>
          <w:lang w:val="es-ES" w:eastAsia="es-ES"/>
        </w:rPr>
        <w:t xml:space="preserve">registrada por esta </w:t>
      </w:r>
      <w:r>
        <w:rPr>
          <w:rFonts w:ascii="Book Antiqua" w:hAnsi="Book Antiqua"/>
          <w:sz w:val="24"/>
          <w:szCs w:val="24"/>
          <w:lang w:val="es-ES" w:eastAsia="es-ES"/>
        </w:rPr>
        <w:t>u</w:t>
      </w:r>
      <w:r w:rsidRPr="002B2C22">
        <w:rPr>
          <w:rFonts w:ascii="Book Antiqua" w:hAnsi="Book Antiqua"/>
          <w:sz w:val="24"/>
          <w:szCs w:val="24"/>
          <w:lang w:val="es-ES" w:eastAsia="es-ES"/>
        </w:rPr>
        <w:t xml:space="preserve">nidad bajo el correlativo </w:t>
      </w:r>
      <w:r w:rsidRPr="002B2C22">
        <w:rPr>
          <w:rFonts w:ascii="Book Antiqua" w:hAnsi="Book Antiqua"/>
          <w:b/>
          <w:sz w:val="24"/>
          <w:szCs w:val="24"/>
          <w:lang w:val="es-ES" w:eastAsia="es-ES"/>
        </w:rPr>
        <w:t>MIGOBDT-2020-00</w:t>
      </w:r>
      <w:r>
        <w:rPr>
          <w:rFonts w:ascii="Book Antiqua" w:hAnsi="Book Antiqua"/>
          <w:b/>
          <w:lang w:val="es-ES" w:eastAsia="es-ES"/>
        </w:rPr>
        <w:t>92</w:t>
      </w:r>
      <w:r w:rsidRPr="002B2C22">
        <w:rPr>
          <w:rFonts w:ascii="Book Antiqua" w:hAnsi="Book Antiqua"/>
          <w:sz w:val="24"/>
          <w:szCs w:val="24"/>
          <w:shd w:val="clear" w:color="auto" w:fill="FFFFFF"/>
        </w:rPr>
        <w:t>, en la que esen</w:t>
      </w:r>
      <w:r>
        <w:rPr>
          <w:rFonts w:ascii="Book Antiqua" w:hAnsi="Book Antiqua"/>
          <w:shd w:val="clear" w:color="auto" w:fill="FFFFFF"/>
        </w:rPr>
        <w:t>cial y textualmente requiere: “</w:t>
      </w:r>
      <w:r w:rsidRPr="000C760E">
        <w:rPr>
          <w:rFonts w:ascii="Book Antiqua" w:hAnsi="Book Antiqua" w:cs="Arial"/>
          <w:bCs/>
          <w:i/>
          <w:sz w:val="20"/>
          <w:szCs w:val="20"/>
          <w:shd w:val="clear" w:color="auto" w:fill="FFFFFF"/>
        </w:rPr>
        <w:t>“</w:t>
      </w:r>
      <w:r w:rsidRPr="000C760E">
        <w:rPr>
          <w:rFonts w:ascii="Book Antiqua" w:hAnsi="Book Antiqua"/>
          <w:i/>
        </w:rPr>
        <w:t xml:space="preserve">(…) Me proporcione certificación  de  las diligencias administrativas que se llevaron  a cabo en ese Ministerio de Gobierno, con las que se inscribió la Junta Directiva de la Asociación General de Empleados Públicos y Municipales de El Salvador, que se abrevia AGEPYM, presidida por el señor Douglas Francisco Rivera Alarcón (…)” </w:t>
      </w:r>
      <w:r w:rsidRPr="00817442">
        <w:rPr>
          <w:rFonts w:ascii="Book Antiqua" w:hAnsi="Book Antiqua"/>
          <w:b/>
          <w:shd w:val="clear" w:color="auto" w:fill="FFFFFF"/>
        </w:rPr>
        <w:t>II)</w:t>
      </w:r>
      <w:r>
        <w:rPr>
          <w:rFonts w:ascii="Book Antiqua" w:hAnsi="Book Antiqua"/>
          <w:shd w:val="clear" w:color="auto" w:fill="FFFFFF"/>
        </w:rPr>
        <w:t xml:space="preserve"> </w:t>
      </w:r>
      <w:r w:rsidRPr="004E56C9">
        <w:rPr>
          <w:rFonts w:ascii="Book Antiqua" w:hAnsi="Book Antiqua"/>
          <w:lang w:eastAsia="es-ES"/>
        </w:rPr>
        <w:t>Conforme al Art. 70 de la LAIP, se trasladó la solicitud a la Dirección General del Registro de Asociaciones y Fundaciones Sin Fines de Lucro, por medio del memorando con referencia MEM-UAIP-</w:t>
      </w:r>
      <w:r>
        <w:rPr>
          <w:rFonts w:ascii="Book Antiqua" w:hAnsi="Book Antiqua"/>
          <w:lang w:eastAsia="es-ES"/>
        </w:rPr>
        <w:t>112</w:t>
      </w:r>
      <w:r w:rsidRPr="004E56C9">
        <w:rPr>
          <w:rFonts w:ascii="Book Antiqua" w:hAnsi="Book Antiqua"/>
          <w:lang w:eastAsia="es-ES"/>
        </w:rPr>
        <w:t>-20</w:t>
      </w:r>
      <w:r>
        <w:rPr>
          <w:rFonts w:ascii="Book Antiqua" w:hAnsi="Book Antiqua"/>
          <w:lang w:eastAsia="es-ES"/>
        </w:rPr>
        <w:t>20</w:t>
      </w:r>
      <w:r w:rsidRPr="004E56C9">
        <w:rPr>
          <w:rFonts w:ascii="Book Antiqua" w:hAnsi="Book Antiqua"/>
          <w:lang w:eastAsia="es-ES"/>
        </w:rPr>
        <w:t xml:space="preserve"> de fecha </w:t>
      </w:r>
      <w:r>
        <w:rPr>
          <w:rFonts w:ascii="Book Antiqua" w:hAnsi="Book Antiqua"/>
          <w:lang w:eastAsia="es-ES"/>
        </w:rPr>
        <w:t>26</w:t>
      </w:r>
      <w:r w:rsidRPr="004E56C9">
        <w:rPr>
          <w:rFonts w:ascii="Book Antiqua" w:hAnsi="Book Antiqua"/>
          <w:lang w:eastAsia="es-ES"/>
        </w:rPr>
        <w:t xml:space="preserve"> de octubre de dos mil </w:t>
      </w:r>
      <w:r>
        <w:rPr>
          <w:rFonts w:ascii="Book Antiqua" w:hAnsi="Book Antiqua"/>
          <w:lang w:eastAsia="es-ES"/>
        </w:rPr>
        <w:t xml:space="preserve">veinte. </w:t>
      </w:r>
      <w:r w:rsidRPr="0087484A">
        <w:rPr>
          <w:rFonts w:ascii="Book Antiqua" w:hAnsi="Book Antiqua"/>
          <w:b/>
          <w:lang w:eastAsia="es-ES"/>
        </w:rPr>
        <w:t>III)</w:t>
      </w:r>
      <w:r>
        <w:rPr>
          <w:rFonts w:ascii="Book Antiqua" w:hAnsi="Book Antiqua"/>
          <w:b/>
          <w:lang w:eastAsia="es-ES"/>
        </w:rPr>
        <w:t xml:space="preserve"> </w:t>
      </w:r>
      <w:r>
        <w:rPr>
          <w:rFonts w:ascii="Book Antiqua" w:hAnsi="Book Antiqua"/>
          <w:lang w:eastAsia="es-ES"/>
        </w:rPr>
        <w:t xml:space="preserve">En esta fecha, </w:t>
      </w:r>
      <w:r w:rsidRPr="004E56C9">
        <w:rPr>
          <w:rFonts w:ascii="Book Antiqua" w:hAnsi="Book Antiqua"/>
          <w:lang w:eastAsia="es-ES"/>
        </w:rPr>
        <w:t xml:space="preserve">se recibió memorando </w:t>
      </w:r>
      <w:r>
        <w:rPr>
          <w:rFonts w:ascii="Book Antiqua" w:hAnsi="Book Antiqua"/>
          <w:lang w:eastAsia="es-ES"/>
        </w:rPr>
        <w:t xml:space="preserve">con </w:t>
      </w:r>
      <w:r w:rsidRPr="004E56C9">
        <w:rPr>
          <w:rFonts w:ascii="Book Antiqua" w:hAnsi="Book Antiqua"/>
          <w:lang w:eastAsia="es-ES"/>
        </w:rPr>
        <w:t>referencia</w:t>
      </w:r>
      <w:r>
        <w:rPr>
          <w:rFonts w:ascii="Book Antiqua" w:hAnsi="Book Antiqua"/>
          <w:lang w:eastAsia="es-ES"/>
        </w:rPr>
        <w:t>: RAFSL-MIGOBDT-094/2020/CM</w:t>
      </w:r>
      <w:r w:rsidRPr="004E56C9">
        <w:rPr>
          <w:rFonts w:ascii="Book Antiqua" w:hAnsi="Book Antiqua"/>
          <w:lang w:eastAsia="es-ES"/>
        </w:rPr>
        <w:t>, suscrito por la Licenciada Beatriz Leonor Flamenco de Cañas, Directora del mencionado Registro, el cual en lo medular expresa</w:t>
      </w:r>
      <w:r w:rsidRPr="004E56C9">
        <w:rPr>
          <w:rFonts w:ascii="Book Antiqua" w:hAnsi="Book Antiqua"/>
        </w:rPr>
        <w:t>:</w:t>
      </w:r>
      <w:r>
        <w:rPr>
          <w:rFonts w:ascii="Book Antiqua" w:hAnsi="Book Antiqua"/>
        </w:rPr>
        <w:t xml:space="preserve"> </w:t>
      </w:r>
      <w:r w:rsidRPr="0087484A">
        <w:rPr>
          <w:rFonts w:ascii="Book Antiqua" w:hAnsi="Book Antiqua"/>
          <w:i/>
        </w:rPr>
        <w:t>“(…) y sobre el particular le informo que  sobre el referido trámite, actualmente existe un proceso de recurso de apelación, por lo que de conformidad al numeral 32 del Índice de Información Reservada del Ministerio de Gobern</w:t>
      </w:r>
      <w:r>
        <w:rPr>
          <w:rFonts w:ascii="Book Antiqua" w:hAnsi="Book Antiqua"/>
          <w:i/>
        </w:rPr>
        <w:t xml:space="preserve">ación y Desarrollo Territorial, </w:t>
      </w:r>
      <w:r w:rsidRPr="0087484A">
        <w:rPr>
          <w:rFonts w:ascii="Book Antiqua" w:hAnsi="Book Antiqua"/>
          <w:i/>
        </w:rPr>
        <w:t>no se puede extender lo solicitado”</w:t>
      </w:r>
      <w:r w:rsidRPr="00F63ED3">
        <w:rPr>
          <w:rFonts w:ascii="Book Antiqua" w:hAnsi="Book Antiqua"/>
          <w:b/>
          <w:i/>
        </w:rPr>
        <w:t xml:space="preserve"> </w:t>
      </w:r>
      <w:r>
        <w:rPr>
          <w:rFonts w:ascii="Book Antiqua" w:hAnsi="Book Antiqua"/>
          <w:b/>
        </w:rPr>
        <w:t xml:space="preserve">IV) </w:t>
      </w:r>
      <w:r w:rsidRPr="00E16695">
        <w:rPr>
          <w:rFonts w:ascii="Book Antiqua" w:hAnsi="Book Antiqua"/>
          <w:lang w:eastAsia="es-ES"/>
        </w:rPr>
        <w:t xml:space="preserve">Se advierte que en relación </w:t>
      </w:r>
      <w:r>
        <w:rPr>
          <w:rFonts w:ascii="Book Antiqua" w:hAnsi="Book Antiqua"/>
          <w:lang w:eastAsia="es-ES"/>
        </w:rPr>
        <w:t xml:space="preserve"> a la información solicitada, </w:t>
      </w:r>
      <w:r w:rsidRPr="00E16695">
        <w:rPr>
          <w:rFonts w:ascii="Book Antiqua" w:hAnsi="Book Antiqua"/>
          <w:lang w:eastAsia="es-ES"/>
        </w:rPr>
        <w:t>tal como lo expresa la Dirección, se encuentran en trámite y por tanto no se pueden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3</w:t>
      </w:r>
      <w:r>
        <w:rPr>
          <w:rFonts w:ascii="Book Antiqua" w:hAnsi="Book Antiqua"/>
          <w:lang w:eastAsia="es-ES"/>
        </w:rPr>
        <w:t>2</w:t>
      </w:r>
      <w:r w:rsidRPr="002120F7">
        <w:rPr>
          <w:rFonts w:ascii="Book Antiqua" w:hAnsi="Book Antiqua"/>
          <w:lang w:eastAsia="es-ES"/>
        </w:rPr>
        <w:t>: “</w:t>
      </w:r>
      <w:r w:rsidRPr="002120F7">
        <w:rPr>
          <w:rFonts w:ascii="Book Antiqua" w:eastAsia="Times New Roman" w:hAnsi="Book Antiqua" w:cs="Times New Roman"/>
          <w:sz w:val="20"/>
          <w:szCs w:val="20"/>
        </w:rPr>
        <w:t>Expedientes Jurídicos o Contables en trámites de Recursos interpuestos, hasta que quede en firme el proceso.</w:t>
      </w:r>
      <w:r w:rsidRPr="002120F7">
        <w:rPr>
          <w:rFonts w:ascii="Book Antiqua" w:hAnsi="Book Antiqua"/>
          <w:b/>
          <w:i/>
        </w:rPr>
        <w:t>”</w:t>
      </w:r>
      <w:r w:rsidRPr="00E16695">
        <w:rPr>
          <w:rFonts w:ascii="Book Antiqua" w:hAnsi="Book Antiqua"/>
        </w:rPr>
        <w:t xml:space="preserve">, siendo el tiempo en el que permanece en dicha clasificación </w:t>
      </w:r>
      <w:r>
        <w:rPr>
          <w:rFonts w:ascii="Book Antiqua" w:hAnsi="Book Antiqua"/>
        </w:rPr>
        <w:t>cuatro</w:t>
      </w:r>
      <w:r w:rsidRPr="00E16695">
        <w:rPr>
          <w:rFonts w:ascii="Book Antiqua" w:hAnsi="Book Antiqua"/>
        </w:rPr>
        <w:t xml:space="preserve"> años, desde el momento que s</w:t>
      </w:r>
      <w:r>
        <w:rPr>
          <w:rFonts w:ascii="Book Antiqua" w:hAnsi="Book Antiqua"/>
        </w:rPr>
        <w:t>u</w:t>
      </w:r>
      <w:r w:rsidRPr="00E16695">
        <w:rPr>
          <w:rFonts w:ascii="Book Antiqua" w:hAnsi="Book Antiqua"/>
        </w:rPr>
        <w:t xml:space="preserve"> presentación ante el Registro, así también, la justificación legal es la establecida en el Art. 19 letra “e” de la Ley de Acceso a la Información Pública: “</w:t>
      </w:r>
      <w:r w:rsidRPr="00E16695">
        <w:rPr>
          <w:rFonts w:ascii="Book Antiqua" w:hAnsi="Book Antiqua"/>
          <w:b/>
          <w:i/>
        </w:rPr>
        <w:t>Es información reservada: e) la que contenga opiniones o recomendaciones que formen parte del proceso deliberativo de los servidores públicos, en tanto no sea adoptada decisión definitiva”.</w:t>
      </w:r>
      <w:r w:rsidRPr="00E16695">
        <w:rPr>
          <w:rFonts w:ascii="Book Antiqua" w:hAnsi="Book Antiqua"/>
        </w:rPr>
        <w:t xml:space="preserve"> En ese sentido la clasificación de dicha información observa la característica de </w:t>
      </w:r>
      <w:r w:rsidRPr="00E16695">
        <w:rPr>
          <w:rFonts w:ascii="Book Antiqua" w:hAnsi="Book Antiqua"/>
          <w:b/>
          <w:i/>
        </w:rPr>
        <w:t>legalidad</w:t>
      </w:r>
      <w:r w:rsidRPr="00E16695">
        <w:rPr>
          <w:rFonts w:ascii="Book Antiqua" w:hAnsi="Book Antiqua"/>
          <w:i/>
        </w:rPr>
        <w:t>,</w:t>
      </w:r>
      <w:r w:rsidRPr="00E16695">
        <w:rPr>
          <w:rFonts w:ascii="Book Antiqua" w:hAnsi="Book Antiqua"/>
          <w:b/>
        </w:rPr>
        <w:t xml:space="preserve"> </w:t>
      </w:r>
      <w:r w:rsidRPr="00E16695">
        <w:rPr>
          <w:rFonts w:ascii="Book Antiqua" w:hAnsi="Book Antiqua"/>
        </w:rPr>
        <w:t>dado que</w:t>
      </w:r>
      <w:r w:rsidRPr="00E16695">
        <w:rPr>
          <w:rFonts w:ascii="Book Antiqua" w:hAnsi="Book Antiqua"/>
          <w:b/>
        </w:rPr>
        <w:t xml:space="preserve"> </w:t>
      </w:r>
      <w:r w:rsidRPr="00E16695">
        <w:rPr>
          <w:rFonts w:ascii="Book Antiqua" w:hAnsi="Book Antiqua"/>
        </w:rPr>
        <w:t>la institución en</w:t>
      </w:r>
      <w:r w:rsidRPr="00E16695">
        <w:rPr>
          <w:rFonts w:ascii="Book Antiqua" w:hAnsi="Book Antiqua"/>
          <w:b/>
        </w:rPr>
        <w:t xml:space="preserve"> </w:t>
      </w:r>
      <w:r w:rsidRPr="00E16695">
        <w:rPr>
          <w:rFonts w:ascii="Book Antiqua" w:hAnsi="Book Antiqua"/>
        </w:rPr>
        <w:t>el ejercicio legítimo</w:t>
      </w:r>
      <w:r w:rsidRPr="00E16695">
        <w:rPr>
          <w:rFonts w:ascii="Book Antiqua" w:hAnsi="Book Antiqua"/>
          <w:b/>
        </w:rPr>
        <w:t xml:space="preserve"> </w:t>
      </w:r>
      <w:r w:rsidRPr="00E16695">
        <w:rPr>
          <w:rFonts w:ascii="Book Antiqua" w:hAnsi="Book Antiqua"/>
          <w:color w:val="000000"/>
          <w:lang w:val="es-ES" w:eastAsia="es-ES" w:bidi="es-ES"/>
        </w:rPr>
        <w:t>de su facultad para reservar una información la enmarcar dentro del ordenamiento legal vigente, hecho que se justifica</w:t>
      </w:r>
      <w:r>
        <w:rPr>
          <w:rFonts w:ascii="Book Antiqua" w:hAnsi="Book Antiqua"/>
          <w:color w:val="000000"/>
          <w:lang w:val="es-ES" w:eastAsia="es-ES" w:bidi="es-ES"/>
        </w:rPr>
        <w:t xml:space="preserve"> con la relacionada normativa. </w:t>
      </w:r>
      <w:r w:rsidRPr="00E16695">
        <w:rPr>
          <w:rFonts w:ascii="Book Antiqua" w:hAnsi="Book Antiqua"/>
          <w:b/>
          <w:lang w:eastAsia="es-ES"/>
        </w:rPr>
        <w:t xml:space="preserve">VI. </w:t>
      </w:r>
      <w:r w:rsidRPr="00E16695">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párrafo precedente cumple con  los requisitos de </w:t>
      </w:r>
      <w:r w:rsidRPr="00E16695">
        <w:rPr>
          <w:rFonts w:ascii="Book Antiqua" w:hAnsi="Book Antiqua"/>
          <w:b/>
          <w:lang w:eastAsia="es-ES"/>
        </w:rPr>
        <w:t>legalidad, razonabilidad y temporalidad</w:t>
      </w:r>
      <w:r w:rsidRPr="00E16695">
        <w:rPr>
          <w:rFonts w:ascii="Book Antiqua" w:hAnsi="Book Antiqua"/>
          <w:lang w:eastAsia="es-ES"/>
        </w:rPr>
        <w:t xml:space="preserve">. (Resolución Ref. </w:t>
      </w:r>
      <w:r w:rsidRPr="00E16695">
        <w:rPr>
          <w:rFonts w:ascii="Book Antiqua" w:hAnsi="Book Antiqua"/>
          <w:color w:val="000000"/>
          <w:lang w:val="es-ES" w:eastAsia="es-ES" w:bidi="es-ES"/>
        </w:rPr>
        <w:t xml:space="preserve">NUE 10-ADP-2016  del 16 de </w:t>
      </w:r>
      <w:r w:rsidRPr="00E16695">
        <w:rPr>
          <w:rFonts w:ascii="Book Antiqua" w:hAnsi="Book Antiqua"/>
          <w:color w:val="000000"/>
          <w:lang w:val="es-ES" w:eastAsia="es-ES" w:bidi="es-ES"/>
        </w:rPr>
        <w:lastRenderedPageBreak/>
        <w:t xml:space="preserve">noviembre de 2016; Resolución Ref. </w:t>
      </w:r>
      <w:r w:rsidRPr="00E16695">
        <w:rPr>
          <w:rFonts w:ascii="Book Antiqua" w:hAnsi="Book Antiqua"/>
        </w:rPr>
        <w:t>NUE 184-A-2017 del 12 de diciembre de 2017 y NUE 228-A-2017 del 29 de noviembre de 2017) por tanto, la clasificación de reserva se encuentra justif</w:t>
      </w:r>
      <w:r>
        <w:rPr>
          <w:rFonts w:ascii="Book Antiqua" w:hAnsi="Book Antiqua"/>
        </w:rPr>
        <w:t xml:space="preserve">icada. </w:t>
      </w:r>
      <w:r w:rsidRPr="00E16695">
        <w:rPr>
          <w:rFonts w:ascii="Book Antiqua" w:hAnsi="Book Antiqua"/>
          <w:b/>
          <w:lang w:eastAsia="es-ES"/>
        </w:rPr>
        <w:t>POR TANTO</w:t>
      </w:r>
      <w:r w:rsidRPr="00E16695">
        <w:rPr>
          <w:rFonts w:ascii="Book Antiqua" w:hAnsi="Book Antiqua"/>
          <w:lang w:eastAsia="es-ES"/>
        </w:rPr>
        <w:t xml:space="preserve">, </w:t>
      </w:r>
      <w:r w:rsidRPr="00E16695">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w:t>
      </w:r>
      <w:r w:rsidRPr="001D1755">
        <w:rPr>
          <w:rFonts w:ascii="Book Antiqua" w:hAnsi="Book Antiqua"/>
          <w:i/>
          <w:lang w:val="es-ES" w:eastAsia="es-ES"/>
        </w:rPr>
        <w:t>dejando abierta la posibilidad del solicitante de hacer uso del derecho a recurrir,</w:t>
      </w:r>
      <w:r w:rsidRPr="00E16695">
        <w:rPr>
          <w:rFonts w:ascii="Book Antiqua" w:hAnsi="Book Antiqua"/>
          <w:lang w:val="es-ES" w:eastAsia="es-ES"/>
        </w:rPr>
        <w:t xml:space="preserve"> esta Unidad de Acceso a la Información Pública, </w:t>
      </w:r>
      <w:r w:rsidRPr="00E16695">
        <w:rPr>
          <w:rFonts w:ascii="Book Antiqua" w:hAnsi="Book Antiqua"/>
          <w:b/>
          <w:lang w:val="es-ES" w:eastAsia="es-ES"/>
        </w:rPr>
        <w:t>RESUELVE:</w:t>
      </w:r>
      <w:r>
        <w:rPr>
          <w:rFonts w:ascii="Book Antiqua" w:hAnsi="Book Antiqua"/>
          <w:b/>
        </w:rPr>
        <w:t xml:space="preserve"> </w:t>
      </w:r>
      <w:r w:rsidRPr="001D1755">
        <w:rPr>
          <w:rFonts w:ascii="Book Antiqua" w:hAnsi="Book Antiqua"/>
          <w:b/>
          <w:lang w:eastAsia="es-ES"/>
        </w:rPr>
        <w:t>NEGAR</w:t>
      </w:r>
      <w:r w:rsidRPr="001D1755">
        <w:rPr>
          <w:rFonts w:ascii="Book Antiqua" w:hAnsi="Book Antiqua"/>
          <w:b/>
          <w:lang w:val="es-ES" w:eastAsia="es-ES"/>
        </w:rPr>
        <w:t xml:space="preserve"> </w:t>
      </w:r>
      <w:r w:rsidRPr="009F09E1">
        <w:rPr>
          <w:rFonts w:ascii="Book Antiqua" w:hAnsi="Book Antiqua"/>
          <w:lang w:val="es-ES" w:eastAsia="es-ES"/>
        </w:rPr>
        <w:t>el acceso a</w:t>
      </w:r>
      <w:r>
        <w:rPr>
          <w:rFonts w:ascii="Book Antiqua" w:hAnsi="Book Antiqua"/>
        </w:rPr>
        <w:t xml:space="preserve"> la información solicitada</w:t>
      </w:r>
      <w:r w:rsidRPr="00373AA0">
        <w:rPr>
          <w:rFonts w:ascii="Book Antiqua" w:hAnsi="Book Antiqua"/>
          <w:lang w:eastAsia="es-ES"/>
        </w:rPr>
        <w:t>, con base a su clasificación de información reservada.</w:t>
      </w:r>
      <w:r>
        <w:rPr>
          <w:rFonts w:ascii="Book Antiqua" w:hAnsi="Book Antiqua"/>
          <w:b/>
        </w:rPr>
        <w:t xml:space="preserve"> </w:t>
      </w:r>
      <w:r w:rsidRPr="009F09E1">
        <w:rPr>
          <w:rFonts w:ascii="Book Antiqua" w:hAnsi="Book Antiqua"/>
          <w:b/>
          <w:lang w:val="es-ES" w:eastAsia="es-ES"/>
        </w:rPr>
        <w:t>NOTIFÍQUESE.</w:t>
      </w:r>
    </w:p>
    <w:p w:rsidR="00B84763" w:rsidRPr="009F09E1" w:rsidRDefault="00B84763" w:rsidP="00B84763">
      <w:pPr>
        <w:spacing w:after="0"/>
        <w:jc w:val="both"/>
        <w:rPr>
          <w:rFonts w:ascii="Book Antiqua" w:hAnsi="Book Antiqua"/>
          <w:b/>
          <w:lang w:eastAsia="es-ES"/>
        </w:rPr>
      </w:pPr>
    </w:p>
    <w:p w:rsidR="00B84763" w:rsidRPr="009F09E1" w:rsidRDefault="00B84763" w:rsidP="00B84763">
      <w:pPr>
        <w:spacing w:after="0"/>
        <w:jc w:val="both"/>
        <w:rPr>
          <w:rFonts w:ascii="Book Antiqua" w:hAnsi="Book Antiqua"/>
          <w:b/>
          <w:lang w:eastAsia="es-ES"/>
        </w:rPr>
      </w:pPr>
    </w:p>
    <w:p w:rsidR="00B84763" w:rsidRPr="009F09E1" w:rsidRDefault="00B84763" w:rsidP="00B84763">
      <w:pPr>
        <w:spacing w:after="0"/>
        <w:jc w:val="both"/>
        <w:rPr>
          <w:rFonts w:ascii="Book Antiqua" w:hAnsi="Book Antiqua"/>
          <w:b/>
          <w:lang w:eastAsia="es-ES"/>
        </w:rPr>
      </w:pPr>
    </w:p>
    <w:p w:rsidR="00B84763" w:rsidRPr="002C176F" w:rsidRDefault="00B84763" w:rsidP="00B84763">
      <w:pPr>
        <w:spacing w:after="0"/>
        <w:jc w:val="both"/>
        <w:rPr>
          <w:rFonts w:ascii="Book Antiqua" w:hAnsi="Book Antiqua"/>
          <w:b/>
          <w:sz w:val="24"/>
          <w:szCs w:val="24"/>
          <w:lang w:eastAsia="es-ES"/>
        </w:rPr>
      </w:pPr>
    </w:p>
    <w:p w:rsidR="00B84763" w:rsidRPr="002C176F" w:rsidRDefault="00B84763" w:rsidP="00B84763">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JENNI VANESSA QUINTANILLA GARCÍA</w:t>
      </w:r>
    </w:p>
    <w:p w:rsidR="00B84763" w:rsidRPr="002C176F" w:rsidRDefault="00B84763" w:rsidP="00B84763">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OFICIAL DE INFORMACIÓN AD-HONOREM</w:t>
      </w:r>
    </w:p>
    <w:p w:rsidR="00B84763" w:rsidRPr="00D071FE" w:rsidRDefault="00B84763" w:rsidP="00B84763">
      <w:pPr>
        <w:pStyle w:val="Prrafodelista"/>
        <w:spacing w:after="0"/>
        <w:ind w:left="1080"/>
        <w:jc w:val="both"/>
        <w:rPr>
          <w:rFonts w:ascii="Book Antiqua" w:hAnsi="Book Antiqua"/>
        </w:rPr>
      </w:pPr>
    </w:p>
    <w:p w:rsidR="00B84763" w:rsidRPr="002C176F" w:rsidRDefault="00B84763" w:rsidP="00B84763">
      <w:pPr>
        <w:pStyle w:val="NormalWeb"/>
        <w:shd w:val="clear" w:color="auto" w:fill="FFFFFF"/>
        <w:spacing w:before="0" w:beforeAutospacing="0" w:after="0" w:afterAutospacing="0" w:line="276" w:lineRule="auto"/>
        <w:jc w:val="both"/>
        <w:rPr>
          <w:rFonts w:ascii="Book Antiqua" w:hAnsi="Book Antiqua"/>
          <w:b/>
          <w:lang w:eastAsia="es-ES"/>
        </w:rPr>
      </w:pPr>
    </w:p>
    <w:p w:rsidR="00B84763" w:rsidRPr="00D071FE" w:rsidRDefault="00B84763" w:rsidP="00B84763">
      <w:pPr>
        <w:spacing w:after="0"/>
        <w:jc w:val="both"/>
        <w:rPr>
          <w:rFonts w:ascii="Book Antiqua" w:hAnsi="Book Antiqua"/>
        </w:rPr>
      </w:pPr>
    </w:p>
    <w:p w:rsidR="00B84763" w:rsidRDefault="00B84763" w:rsidP="00B84763"/>
    <w:p w:rsidR="00DD3B70" w:rsidRDefault="00B84763"/>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63"/>
    <w:rsid w:val="00876156"/>
    <w:rsid w:val="00B84763"/>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4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B8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4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B8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2020-12-23T20:47:00Z</dcterms:created>
  <dcterms:modified xsi:type="dcterms:W3CDTF">2020-12-23T20:47:00Z</dcterms:modified>
</cp:coreProperties>
</file>