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38" w:rsidRPr="00152E88" w:rsidRDefault="00E27238" w:rsidP="00E27238">
      <w:pPr>
        <w:rPr>
          <w:rFonts w:ascii="Book Antiqua" w:hAnsi="Book Antiqua"/>
          <w:sz w:val="24"/>
          <w:szCs w:val="24"/>
        </w:rPr>
      </w:pPr>
      <w:r w:rsidRPr="00152E88">
        <w:rPr>
          <w:rFonts w:ascii="Book Antiqua" w:hAnsi="Book Antiqua"/>
          <w:noProof/>
          <w:sz w:val="24"/>
          <w:szCs w:val="24"/>
          <w:lang w:eastAsia="es-SV"/>
        </w:rPr>
        <w:drawing>
          <wp:anchor distT="0" distB="0" distL="114300" distR="114300" simplePos="0" relativeHeight="251659264" behindDoc="1" locked="0" layoutInCell="1" allowOverlap="1" wp14:anchorId="570C3161" wp14:editId="09CF2810">
            <wp:simplePos x="0" y="0"/>
            <wp:positionH relativeFrom="column">
              <wp:posOffset>1638300</wp:posOffset>
            </wp:positionH>
            <wp:positionV relativeFrom="paragraph">
              <wp:posOffset>-724572</wp:posOffset>
            </wp:positionV>
            <wp:extent cx="2374265" cy="13963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4265" cy="1396365"/>
                    </a:xfrm>
                    <a:prstGeom prst="rect">
                      <a:avLst/>
                    </a:prstGeom>
                    <a:noFill/>
                  </pic:spPr>
                </pic:pic>
              </a:graphicData>
            </a:graphic>
            <wp14:sizeRelH relativeFrom="page">
              <wp14:pctWidth>0</wp14:pctWidth>
            </wp14:sizeRelH>
            <wp14:sizeRelV relativeFrom="page">
              <wp14:pctHeight>0</wp14:pctHeight>
            </wp14:sizeRelV>
          </wp:anchor>
        </w:drawing>
      </w:r>
    </w:p>
    <w:p w:rsidR="00E27238" w:rsidRPr="00152E88" w:rsidRDefault="00E27238" w:rsidP="00E27238">
      <w:pPr>
        <w:jc w:val="center"/>
        <w:rPr>
          <w:rFonts w:ascii="Book Antiqua" w:hAnsi="Book Antiqua"/>
          <w:sz w:val="24"/>
          <w:szCs w:val="24"/>
        </w:rPr>
      </w:pPr>
    </w:p>
    <w:p w:rsidR="00E27238" w:rsidRPr="00152E88" w:rsidRDefault="00E27238" w:rsidP="00E27238">
      <w:pPr>
        <w:pStyle w:val="NormalWeb"/>
        <w:shd w:val="clear" w:color="auto" w:fill="FFFFFF"/>
        <w:spacing w:before="0" w:beforeAutospacing="0" w:after="150" w:afterAutospacing="0"/>
        <w:jc w:val="center"/>
        <w:rPr>
          <w:rFonts w:ascii="Book Antiqua" w:hAnsi="Book Antiqua"/>
          <w:b/>
        </w:rPr>
      </w:pPr>
    </w:p>
    <w:p w:rsidR="00E27238" w:rsidRPr="00152E88" w:rsidRDefault="00E27238" w:rsidP="00E27238">
      <w:pPr>
        <w:pStyle w:val="NormalWeb"/>
        <w:shd w:val="clear" w:color="auto" w:fill="FFFFFF"/>
        <w:spacing w:before="0" w:beforeAutospacing="0" w:after="150" w:afterAutospacing="0"/>
        <w:jc w:val="center"/>
        <w:rPr>
          <w:rFonts w:ascii="Book Antiqua" w:hAnsi="Book Antiqua"/>
          <w:b/>
        </w:rPr>
      </w:pPr>
      <w:r w:rsidRPr="00152E88">
        <w:rPr>
          <w:rFonts w:ascii="Book Antiqua" w:hAnsi="Book Antiqua"/>
          <w:b/>
        </w:rPr>
        <w:t>RESOLUCIÓN NO. 113/2020</w:t>
      </w:r>
    </w:p>
    <w:p w:rsidR="00E27238" w:rsidRPr="00615B0B" w:rsidRDefault="00E27238" w:rsidP="00E27238">
      <w:pPr>
        <w:jc w:val="both"/>
        <w:rPr>
          <w:rFonts w:ascii="Book Antiqua" w:hAnsi="Book Antiqua"/>
          <w:sz w:val="24"/>
          <w:szCs w:val="24"/>
          <w:lang w:val="es-ES" w:eastAsia="es-ES"/>
        </w:rPr>
      </w:pPr>
      <w:r w:rsidRPr="00152E88">
        <w:rPr>
          <w:rFonts w:ascii="Book Antiqua" w:hAnsi="Book Antiqua"/>
          <w:sz w:val="24"/>
          <w:szCs w:val="24"/>
          <w:lang w:val="es-ES" w:eastAsia="es-ES"/>
        </w:rPr>
        <w:t xml:space="preserve">En </w:t>
      </w:r>
      <w:r w:rsidRPr="00152E88">
        <w:rPr>
          <w:rFonts w:ascii="Book Antiqua" w:hAnsi="Book Antiqua"/>
          <w:sz w:val="24"/>
          <w:szCs w:val="24"/>
        </w:rPr>
        <w:t xml:space="preserve">la Unidad de Acceso a la Información Pública del Ministerio de Gobernación y Desarrollo Territorial: San Salvador, a las nueve horas </w:t>
      </w:r>
      <w:r>
        <w:rPr>
          <w:rFonts w:ascii="Book Antiqua" w:hAnsi="Book Antiqua"/>
          <w:sz w:val="24"/>
          <w:szCs w:val="24"/>
        </w:rPr>
        <w:t>y  siete minutos del día veintitrés</w:t>
      </w:r>
      <w:r w:rsidRPr="00152E88">
        <w:rPr>
          <w:rFonts w:ascii="Book Antiqua" w:hAnsi="Book Antiqua"/>
          <w:sz w:val="24"/>
          <w:szCs w:val="24"/>
        </w:rPr>
        <w:t xml:space="preserve"> de diciembre de dos mil veinte. </w:t>
      </w:r>
      <w:r w:rsidRPr="00152E88">
        <w:rPr>
          <w:rFonts w:ascii="Book Antiqua" w:hAnsi="Book Antiqua"/>
          <w:b/>
          <w:sz w:val="24"/>
          <w:szCs w:val="24"/>
        </w:rPr>
        <w:t xml:space="preserve">CONSIDERANDO </w:t>
      </w:r>
      <w:r w:rsidRPr="00152E88">
        <w:rPr>
          <w:rFonts w:ascii="Book Antiqua" w:hAnsi="Book Antiqua"/>
          <w:sz w:val="24"/>
          <w:szCs w:val="24"/>
        </w:rPr>
        <w:t>que</w:t>
      </w:r>
      <w:r w:rsidRPr="00152E88">
        <w:rPr>
          <w:rFonts w:ascii="Book Antiqua" w:hAnsi="Book Antiqua"/>
          <w:b/>
          <w:sz w:val="24"/>
          <w:szCs w:val="24"/>
        </w:rPr>
        <w:t xml:space="preserve">: I. </w:t>
      </w:r>
      <w:r w:rsidRPr="00152E88">
        <w:rPr>
          <w:rFonts w:ascii="Book Antiqua" w:hAnsi="Book Antiqua"/>
          <w:sz w:val="24"/>
          <w:szCs w:val="24"/>
        </w:rPr>
        <w:t xml:space="preserve">En fecha 16 de diciembre de 2020,  se recibió por medio de correo electrónico, solicitud de información a nombre  del señor </w:t>
      </w:r>
      <w:r>
        <w:rPr>
          <w:rFonts w:ascii="Book Antiqua" w:hAnsi="Book Antiqua"/>
          <w:sz w:val="24"/>
          <w:szCs w:val="24"/>
        </w:rPr>
        <w:t>*****</w:t>
      </w:r>
      <w:bookmarkStart w:id="0" w:name="_GoBack"/>
      <w:bookmarkEnd w:id="0"/>
      <w:r w:rsidRPr="00152E88">
        <w:rPr>
          <w:rFonts w:ascii="Book Antiqua" w:hAnsi="Book Antiqua"/>
          <w:sz w:val="24"/>
          <w:szCs w:val="24"/>
        </w:rPr>
        <w:t xml:space="preserve">, </w:t>
      </w:r>
      <w:r w:rsidRPr="00152E88">
        <w:rPr>
          <w:rFonts w:ascii="Book Antiqua" w:hAnsi="Book Antiqua"/>
          <w:sz w:val="24"/>
          <w:szCs w:val="24"/>
          <w:lang w:val="es-ES" w:eastAsia="es-ES"/>
        </w:rPr>
        <w:t xml:space="preserve">registrada por esta Unidad bajo el correlativo </w:t>
      </w:r>
      <w:r w:rsidRPr="00152E88">
        <w:rPr>
          <w:rFonts w:ascii="Book Antiqua" w:hAnsi="Book Antiqua"/>
          <w:b/>
          <w:sz w:val="24"/>
          <w:szCs w:val="24"/>
          <w:lang w:val="es-ES" w:eastAsia="es-ES"/>
        </w:rPr>
        <w:t>MIGOBDT-2020-0115</w:t>
      </w:r>
      <w:r w:rsidRPr="00152E88">
        <w:rPr>
          <w:rFonts w:ascii="Book Antiqua" w:hAnsi="Book Antiqua"/>
          <w:sz w:val="24"/>
          <w:szCs w:val="24"/>
          <w:shd w:val="clear" w:color="auto" w:fill="FFFFFF"/>
        </w:rPr>
        <w:t xml:space="preserve">, en la que esencial y textualmente requiere: </w:t>
      </w:r>
      <w:r w:rsidRPr="00152E88">
        <w:rPr>
          <w:rFonts w:ascii="Book Antiqua" w:hAnsi="Book Antiqua"/>
          <w:i/>
          <w:sz w:val="24"/>
          <w:szCs w:val="24"/>
          <w:shd w:val="clear" w:color="auto" w:fill="FFFFFF"/>
        </w:rPr>
        <w:t>“</w:t>
      </w:r>
      <w:r w:rsidRPr="00152E88">
        <w:rPr>
          <w:rFonts w:ascii="Book Antiqua" w:hAnsi="Book Antiqua"/>
          <w:i/>
          <w:sz w:val="24"/>
          <w:szCs w:val="24"/>
        </w:rPr>
        <w:t xml:space="preserve">Se solicita el Listado de Nombre de los miembros de equipo coordinador para el Programa de Emergencia Sanitaria-PES, en el marco de la pandemia por COVID-19, nivel ejecutivo (nombres de las instituciones involucradas) • Se solicita el Plan de trabajo el Programa de Emergencia Sanitaria-PES. • Procedimientos escritos sobre las compras de los alimentos de la canasta solidaria para implementar el Programa de Emergencia Sanitaria-PES/ respaldo de documentos oficiales, circulares, memorando y otros, giradas por parte del equipo coordinador (si en el caso la entidad no es responsable del proceso señalar el ejecutor/es en este caso). • Procedimientos escritos sobre la entrega de la canasta solidarias para implementar el Programa de Emergencia Sanitaria-PES / respaldo de documentos oficiales, circulares, memorando y otros, giradas por parte del equipo coordinador. • Procedimientos escritos por parte del equipo coordinador para el transporte y embalaje de alimentos de la canasta solidaria para implementar el Programa de Emergencia Sanitaria-PES/ Se solicita entrega del documento oficial, circulares, memorando y otros relacionados a aclarar los procedimientos para realizar para el traslado (si en el caso la entidad no es responsable del proceso señalar el ejecutor en este caso).”  </w:t>
      </w:r>
      <w:r w:rsidRPr="00152E88">
        <w:rPr>
          <w:rFonts w:ascii="Book Antiqua" w:hAnsi="Book Antiqua"/>
          <w:b/>
          <w:color w:val="000000"/>
          <w:sz w:val="24"/>
          <w:szCs w:val="24"/>
        </w:rPr>
        <w:t>II</w:t>
      </w:r>
      <w:r w:rsidRPr="00152E88">
        <w:rPr>
          <w:rFonts w:ascii="Book Antiqua" w:hAnsi="Book Antiqua"/>
          <w:color w:val="000000"/>
          <w:sz w:val="24"/>
          <w:szCs w:val="24"/>
        </w:rPr>
        <w:t xml:space="preserve">. Que la referida solicitud cumple con los requisitos establecidos en el Art. 66 de la Ley de Acceso a la Información Pública, no obstante, se advierte que como precedente se han realizado gestiones para obtener información relacionada al Programa de Emergencia  Sanitaria- PES, que culminó con la resolución número cuarenta y ocho de fecha 17 de agosto de 2020, en la que se expresa que las unidades administrativas consultadas únicamente colaboran en la distribución de los paquetes, es decir, realiza apoyo logístico, por lo que no es posible obtener la información que el solicitante requiere. En tal sentido, el Art. 62 de la LAIP establece: “los entes obligados deberán  </w:t>
      </w:r>
      <w:r w:rsidRPr="00152E88">
        <w:rPr>
          <w:rFonts w:ascii="Book Antiqua" w:hAnsi="Book Antiqua"/>
          <w:b/>
          <w:color w:val="000000"/>
          <w:sz w:val="24"/>
          <w:szCs w:val="24"/>
          <w:u w:val="single"/>
        </w:rPr>
        <w:t xml:space="preserve">entregar únicamente información que se encuentre en su poder </w:t>
      </w:r>
      <w:r w:rsidRPr="00152E88">
        <w:rPr>
          <w:rFonts w:ascii="Book Antiqua" w:hAnsi="Book Antiqua"/>
          <w:color w:val="000000"/>
          <w:sz w:val="24"/>
          <w:szCs w:val="24"/>
        </w:rPr>
        <w:t xml:space="preserve">(…)”.  </w:t>
      </w:r>
      <w:r w:rsidRPr="00152E88">
        <w:rPr>
          <w:rFonts w:ascii="Book Antiqua" w:hAnsi="Book Antiqua"/>
          <w:b/>
          <w:color w:val="000000"/>
          <w:sz w:val="24"/>
          <w:szCs w:val="24"/>
        </w:rPr>
        <w:t>III.</w:t>
      </w:r>
      <w:r w:rsidRPr="00152E88">
        <w:rPr>
          <w:rFonts w:ascii="Book Antiqua" w:hAnsi="Book Antiqua"/>
          <w:color w:val="000000"/>
          <w:sz w:val="24"/>
          <w:szCs w:val="24"/>
        </w:rPr>
        <w:t xml:space="preserve">  Que al investigar sobre la competencia para que el solicitante obtenga la información, se encontró noticia publicada el 22 de mayo de 2020, en </w:t>
      </w:r>
      <w:hyperlink r:id="rId6" w:history="1">
        <w:r w:rsidRPr="00152E88">
          <w:rPr>
            <w:rStyle w:val="Hipervnculo"/>
            <w:rFonts w:ascii="Book Antiqua" w:hAnsi="Book Antiqua"/>
            <w:sz w:val="24"/>
            <w:szCs w:val="24"/>
          </w:rPr>
          <w:t>https://www.youtube.com/watch?v=XdXoKDh0xGA</w:t>
        </w:r>
      </w:hyperlink>
      <w:r w:rsidRPr="00152E88">
        <w:rPr>
          <w:rFonts w:ascii="Book Antiqua" w:hAnsi="Book Antiqua"/>
          <w:color w:val="000000"/>
          <w:sz w:val="24"/>
          <w:szCs w:val="24"/>
        </w:rPr>
        <w:t xml:space="preserve">, en el canal de la Secretaria de Prensa, de Presidencia de la República, con el título: “Bienestar Social coordina entrega de alimentos en todo el país” , por lo que se considera que es competente para conocer la Unidad de Acceso a la Información Pública Presidencia de la República, así también, en noticia publicada el 17 de abril de 2020, en: </w:t>
      </w:r>
      <w:hyperlink r:id="rId7" w:history="1">
        <w:r w:rsidRPr="00152E88">
          <w:rPr>
            <w:rStyle w:val="Hipervnculo"/>
            <w:rFonts w:ascii="Book Antiqua" w:hAnsi="Book Antiqua"/>
            <w:sz w:val="24"/>
            <w:szCs w:val="24"/>
          </w:rPr>
          <w:t>https://www.presidencia.gob.sv/gobierno-compra-30-millones-para-reserva-nacional-de-granos-basicos/</w:t>
        </w:r>
      </w:hyperlink>
      <w:r w:rsidRPr="00152E88">
        <w:rPr>
          <w:rFonts w:ascii="Book Antiqua" w:hAnsi="Book Antiqua"/>
          <w:color w:val="000000"/>
          <w:sz w:val="24"/>
          <w:szCs w:val="24"/>
        </w:rPr>
        <w:t xml:space="preserve">, se expresa:  </w:t>
      </w:r>
      <w:r w:rsidRPr="00152E88">
        <w:rPr>
          <w:rFonts w:ascii="Book Antiqua" w:hAnsi="Book Antiqua"/>
          <w:sz w:val="24"/>
          <w:szCs w:val="24"/>
        </w:rPr>
        <w:t>“</w:t>
      </w:r>
      <w:r w:rsidRPr="00152E88">
        <w:rPr>
          <w:rFonts w:ascii="Book Antiqua" w:hAnsi="Book Antiqua"/>
          <w:i/>
          <w:sz w:val="24"/>
          <w:szCs w:val="24"/>
          <w:shd w:val="clear" w:color="auto" w:fill="FFFFFF"/>
        </w:rPr>
        <w:t xml:space="preserve">El Gobierno del Presidente </w:t>
      </w:r>
      <w:proofErr w:type="spellStart"/>
      <w:r w:rsidRPr="00152E88">
        <w:rPr>
          <w:rFonts w:ascii="Book Antiqua" w:hAnsi="Book Antiqua"/>
          <w:i/>
          <w:sz w:val="24"/>
          <w:szCs w:val="24"/>
          <w:shd w:val="clear" w:color="auto" w:fill="FFFFFF"/>
        </w:rPr>
        <w:t>Nayib</w:t>
      </w:r>
      <w:proofErr w:type="spellEnd"/>
      <w:r w:rsidRPr="00152E88">
        <w:rPr>
          <w:rFonts w:ascii="Book Antiqua" w:hAnsi="Book Antiqua"/>
          <w:i/>
          <w:sz w:val="24"/>
          <w:szCs w:val="24"/>
          <w:shd w:val="clear" w:color="auto" w:fill="FFFFFF"/>
        </w:rPr>
        <w:t xml:space="preserve"> </w:t>
      </w:r>
      <w:proofErr w:type="spellStart"/>
      <w:r w:rsidRPr="00152E88">
        <w:rPr>
          <w:rFonts w:ascii="Book Antiqua" w:hAnsi="Book Antiqua"/>
          <w:i/>
          <w:sz w:val="24"/>
          <w:szCs w:val="24"/>
          <w:shd w:val="clear" w:color="auto" w:fill="FFFFFF"/>
        </w:rPr>
        <w:t>Bukele</w:t>
      </w:r>
      <w:proofErr w:type="spellEnd"/>
      <w:r w:rsidRPr="00152E88">
        <w:rPr>
          <w:rFonts w:ascii="Book Antiqua" w:hAnsi="Book Antiqua"/>
          <w:i/>
          <w:sz w:val="24"/>
          <w:szCs w:val="24"/>
          <w:shd w:val="clear" w:color="auto" w:fill="FFFFFF"/>
        </w:rPr>
        <w:t>, a través del Ministerio de Agricultura y Ganadería (MAG), está preparando una </w:t>
      </w:r>
      <w:r w:rsidRPr="00152E88">
        <w:rPr>
          <w:rStyle w:val="Textoennegrita"/>
          <w:rFonts w:ascii="Book Antiqua" w:hAnsi="Book Antiqua"/>
          <w:i/>
          <w:sz w:val="24"/>
          <w:szCs w:val="24"/>
          <w:shd w:val="clear" w:color="auto" w:fill="FFFFFF"/>
        </w:rPr>
        <w:t>reserva nacional de granos básicos para garantizar el abastecimiento de estos alimentos</w:t>
      </w:r>
      <w:r w:rsidRPr="00152E88">
        <w:rPr>
          <w:rFonts w:ascii="Book Antiqua" w:hAnsi="Book Antiqua"/>
          <w:i/>
          <w:sz w:val="24"/>
          <w:szCs w:val="24"/>
          <w:shd w:val="clear" w:color="auto" w:fill="FFFFFF"/>
        </w:rPr>
        <w:t> durante y después de la emergencia por el COVID-19, para lo cual ha invertido 30 millones de dólares en maíz, frijol y arroz. (…) “,</w:t>
      </w:r>
      <w:r w:rsidRPr="00152E88">
        <w:rPr>
          <w:rFonts w:ascii="Book Antiqua" w:hAnsi="Book Antiqua"/>
          <w:sz w:val="24"/>
          <w:szCs w:val="24"/>
          <w:shd w:val="clear" w:color="auto" w:fill="FFFFFF"/>
        </w:rPr>
        <w:t xml:space="preserve">  por lo que se estima </w:t>
      </w:r>
      <w:r>
        <w:rPr>
          <w:rFonts w:ascii="Book Antiqua" w:hAnsi="Book Antiqua"/>
          <w:sz w:val="24"/>
          <w:szCs w:val="24"/>
          <w:shd w:val="clear" w:color="auto" w:fill="FFFFFF"/>
        </w:rPr>
        <w:t xml:space="preserve">posiblemente </w:t>
      </w:r>
      <w:r w:rsidRPr="00152E88">
        <w:rPr>
          <w:rFonts w:ascii="Book Antiqua" w:hAnsi="Book Antiqua"/>
          <w:sz w:val="24"/>
          <w:szCs w:val="24"/>
          <w:shd w:val="clear" w:color="auto" w:fill="FFFFFF"/>
        </w:rPr>
        <w:t xml:space="preserve"> l</w:t>
      </w:r>
      <w:r>
        <w:rPr>
          <w:rFonts w:ascii="Book Antiqua" w:hAnsi="Book Antiqua"/>
          <w:sz w:val="24"/>
          <w:szCs w:val="24"/>
          <w:shd w:val="clear" w:color="auto" w:fill="FFFFFF"/>
        </w:rPr>
        <w:t>a mencionada Cartera de Estado sea la generadora de dicha información</w:t>
      </w:r>
      <w:r w:rsidRPr="00152E88">
        <w:rPr>
          <w:rFonts w:ascii="Book Antiqua" w:hAnsi="Book Antiqua"/>
          <w:sz w:val="24"/>
          <w:szCs w:val="24"/>
          <w:shd w:val="clear" w:color="auto" w:fill="FFFFFF"/>
        </w:rPr>
        <w:t xml:space="preserve">. </w:t>
      </w:r>
      <w:r w:rsidRPr="00152E88">
        <w:rPr>
          <w:rFonts w:ascii="Book Antiqua" w:hAnsi="Book Antiqua"/>
          <w:b/>
          <w:color w:val="000000"/>
          <w:sz w:val="24"/>
          <w:szCs w:val="24"/>
        </w:rPr>
        <w:t>III.</w:t>
      </w:r>
      <w:r w:rsidRPr="00152E88">
        <w:rPr>
          <w:rFonts w:ascii="Book Antiqua" w:hAnsi="Book Antiqua"/>
          <w:color w:val="000000"/>
          <w:sz w:val="24"/>
          <w:szCs w:val="24"/>
        </w:rPr>
        <w:t xml:space="preserve"> Que el </w:t>
      </w:r>
      <w:r w:rsidRPr="00152E88">
        <w:rPr>
          <w:rFonts w:ascii="Book Antiqua" w:hAnsi="Book Antiqua" w:cs="Helvetica"/>
          <w:sz w:val="24"/>
          <w:szCs w:val="24"/>
          <w:shd w:val="clear" w:color="auto" w:fill="FFFFFF"/>
        </w:rPr>
        <w:t>Art. 68 de la LAIP inciso segundo establece: “</w:t>
      </w:r>
      <w:r w:rsidRPr="00152E88">
        <w:rPr>
          <w:rFonts w:ascii="Book Antiqua" w:hAnsi="Book Antiqua" w:cs="Helvetica"/>
          <w:i/>
          <w:sz w:val="24"/>
          <w:szCs w:val="24"/>
          <w:shd w:val="clear" w:color="auto" w:fill="FFFFFF"/>
        </w:rPr>
        <w:t xml:space="preserve">Cuando una solicitud de información sea dirigida a un ente obligado distinto del competente, éste deberá informar al interesado la entidad a la que debe dirigirse”, </w:t>
      </w:r>
      <w:r w:rsidRPr="00152E88">
        <w:rPr>
          <w:rFonts w:ascii="Book Antiqua" w:hAnsi="Book Antiqua" w:cs="Helvetica"/>
          <w:sz w:val="24"/>
          <w:szCs w:val="24"/>
          <w:shd w:val="clear" w:color="auto" w:fill="FFFFFF"/>
        </w:rPr>
        <w:t>asimismo, el Art. 49 del Reglamento de la LAIP, expresa que: “Las Unidades de Acceso a la Información Pública que reciban una solicitud de acceso a la información que no corresponda a su respectiva institución, deberán auxiliar u orientar a los particulares (…) sobre la  Unidad de Acceso a la Información Pública que pudiese poseerla (…)”</w:t>
      </w:r>
      <w:r w:rsidRPr="00152E88">
        <w:rPr>
          <w:rFonts w:ascii="Book Antiqua" w:hAnsi="Book Antiqua"/>
          <w:b/>
          <w:sz w:val="24"/>
          <w:szCs w:val="24"/>
          <w:lang w:eastAsia="es-ES"/>
        </w:rPr>
        <w:t>POR TANTO</w:t>
      </w:r>
      <w:r w:rsidRPr="00152E88">
        <w:rPr>
          <w:rFonts w:ascii="Book Antiqua" w:hAnsi="Book Antiqua"/>
          <w:sz w:val="24"/>
          <w:szCs w:val="24"/>
          <w:lang w:eastAsia="es-ES"/>
        </w:rPr>
        <w:t xml:space="preserve">, </w:t>
      </w:r>
      <w:r w:rsidRPr="00152E88">
        <w:rPr>
          <w:rFonts w:ascii="Book Antiqua" w:hAnsi="Book Antiqua"/>
          <w:sz w:val="24"/>
          <w:szCs w:val="24"/>
          <w:lang w:val="es-ES" w:eastAsia="es-ES"/>
        </w:rPr>
        <w:t>conforme a los Arts. 86 Inciso 3° de la Constitución y 2, 7, 9, 50, 62, 66 y 68 esta Unidad de A</w:t>
      </w:r>
      <w:r>
        <w:rPr>
          <w:rFonts w:ascii="Book Antiqua" w:hAnsi="Book Antiqua"/>
          <w:sz w:val="24"/>
          <w:szCs w:val="24"/>
          <w:lang w:val="es-ES" w:eastAsia="es-ES"/>
        </w:rPr>
        <w:t xml:space="preserve">cceso a la Información Pública. </w:t>
      </w:r>
      <w:r w:rsidRPr="00152E88">
        <w:rPr>
          <w:rFonts w:ascii="Book Antiqua" w:hAnsi="Book Antiqua"/>
          <w:b/>
          <w:sz w:val="24"/>
          <w:szCs w:val="24"/>
          <w:lang w:val="es-ES" w:eastAsia="es-ES"/>
        </w:rPr>
        <w:t>RESUELVE:</w:t>
      </w:r>
      <w:r>
        <w:rPr>
          <w:rFonts w:ascii="Book Antiqua" w:hAnsi="Book Antiqua"/>
          <w:sz w:val="24"/>
          <w:szCs w:val="24"/>
          <w:lang w:val="es-ES" w:eastAsia="es-ES"/>
        </w:rPr>
        <w:t xml:space="preserve"> 1) Declarar la inadmisible la solicitud, dado que no es competencia de este Ministerio generar dicha información. 2) Orientar al solicitante  </w:t>
      </w:r>
      <w:r w:rsidRPr="00152E88">
        <w:rPr>
          <w:rFonts w:ascii="Book Antiqua" w:hAnsi="Book Antiqua"/>
          <w:sz w:val="24"/>
          <w:szCs w:val="24"/>
          <w:lang w:val="es-ES" w:eastAsia="es-ES"/>
        </w:rPr>
        <w:t xml:space="preserve">que dirija su solicitud ante las Unidades de Acceso a la Información Pública de Presidencia de la República  y/o  de Ministerio de Agricultura y Ganadería. </w:t>
      </w:r>
      <w:r>
        <w:rPr>
          <w:rFonts w:ascii="Book Antiqua" w:hAnsi="Book Antiqua"/>
          <w:sz w:val="24"/>
          <w:szCs w:val="24"/>
          <w:lang w:val="es-ES" w:eastAsia="es-ES"/>
        </w:rPr>
        <w:t xml:space="preserve">3) Queda expedito el derecho a recurrir del solicitante. </w:t>
      </w:r>
    </w:p>
    <w:p w:rsidR="00E27238" w:rsidRPr="00152E88" w:rsidRDefault="00E27238" w:rsidP="00E27238">
      <w:pPr>
        <w:jc w:val="both"/>
        <w:rPr>
          <w:rFonts w:ascii="Book Antiqua" w:hAnsi="Book Antiqua"/>
          <w:color w:val="000000"/>
          <w:sz w:val="24"/>
          <w:szCs w:val="24"/>
        </w:rPr>
      </w:pPr>
    </w:p>
    <w:p w:rsidR="00E27238" w:rsidRPr="00152E88" w:rsidRDefault="00E27238" w:rsidP="00E27238">
      <w:pPr>
        <w:spacing w:after="0"/>
        <w:jc w:val="center"/>
        <w:rPr>
          <w:rFonts w:ascii="Book Antiqua" w:hAnsi="Book Antiqua" w:cs="Helvetica"/>
          <w:b/>
          <w:sz w:val="24"/>
          <w:szCs w:val="24"/>
          <w:shd w:val="clear" w:color="auto" w:fill="FFFFFF"/>
        </w:rPr>
      </w:pPr>
      <w:r w:rsidRPr="00152E88">
        <w:rPr>
          <w:rFonts w:ascii="Book Antiqua" w:hAnsi="Book Antiqua" w:cs="Helvetica"/>
          <w:b/>
          <w:sz w:val="24"/>
          <w:szCs w:val="24"/>
          <w:shd w:val="clear" w:color="auto" w:fill="FFFFFF"/>
        </w:rPr>
        <w:t>JENNI VANESSA QUINTANILLA GARCÍA</w:t>
      </w:r>
    </w:p>
    <w:p w:rsidR="00E27238" w:rsidRPr="00E27238" w:rsidRDefault="00E27238" w:rsidP="00E27238">
      <w:pPr>
        <w:spacing w:after="0"/>
        <w:jc w:val="center"/>
        <w:rPr>
          <w:rFonts w:ascii="Book Antiqua" w:hAnsi="Book Antiqua" w:cs="Helvetica"/>
          <w:b/>
          <w:sz w:val="24"/>
          <w:szCs w:val="24"/>
          <w:shd w:val="clear" w:color="auto" w:fill="FFFFFF"/>
        </w:rPr>
      </w:pPr>
      <w:r w:rsidRPr="00152E88">
        <w:rPr>
          <w:rFonts w:ascii="Book Antiqua" w:hAnsi="Book Antiqua" w:cs="Helvetica"/>
          <w:b/>
          <w:sz w:val="24"/>
          <w:szCs w:val="24"/>
          <w:shd w:val="clear" w:color="auto" w:fill="FFFFFF"/>
        </w:rPr>
        <w:t>OFICIAL DE INFORMACIÓN AD-HONOREM</w:t>
      </w:r>
    </w:p>
    <w:p w:rsidR="00E27238" w:rsidRPr="0022486B" w:rsidRDefault="00E27238" w:rsidP="00E27238">
      <w:pPr>
        <w:spacing w:after="0"/>
        <w:jc w:val="center"/>
        <w:rPr>
          <w:rFonts w:ascii="Book Antiqua" w:hAnsi="Book Antiqua" w:cs="Helvetica"/>
          <w:b/>
          <w:shd w:val="clear" w:color="auto" w:fill="FFFFFF"/>
        </w:rPr>
      </w:pPr>
      <w:r>
        <w:rPr>
          <w:rFonts w:ascii="Book Antiqua" w:hAnsi="Book Antiqua" w:cs="Helvetica"/>
          <w:b/>
          <w:shd w:val="clear" w:color="auto" w:fill="FFFFFF"/>
        </w:rPr>
        <w:t xml:space="preserve">NOTA: la versión de esta resolución reguarda los datos que se consideran confidenciales, de conformidad al Art. 30 de la Ley de Acceso a la Información Pública </w:t>
      </w:r>
    </w:p>
    <w:p w:rsidR="00E27238" w:rsidRDefault="00E27238" w:rsidP="00E27238"/>
    <w:p w:rsidR="00DD3B70" w:rsidRDefault="00E27238"/>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38"/>
    <w:rsid w:val="00876156"/>
    <w:rsid w:val="00E27238"/>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7238"/>
    <w:rPr>
      <w:color w:val="0000FF" w:themeColor="hyperlink"/>
      <w:u w:val="single"/>
    </w:rPr>
  </w:style>
  <w:style w:type="character" w:styleId="Textoennegrita">
    <w:name w:val="Strong"/>
    <w:basedOn w:val="Fuentedeprrafopredeter"/>
    <w:uiPriority w:val="22"/>
    <w:qFormat/>
    <w:rsid w:val="00E27238"/>
    <w:rPr>
      <w:b/>
      <w:bCs/>
    </w:rPr>
  </w:style>
  <w:style w:type="paragraph" w:styleId="NormalWeb">
    <w:name w:val="Normal (Web)"/>
    <w:basedOn w:val="Normal"/>
    <w:uiPriority w:val="99"/>
    <w:unhideWhenUsed/>
    <w:rsid w:val="00E27238"/>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7238"/>
    <w:rPr>
      <w:color w:val="0000FF" w:themeColor="hyperlink"/>
      <w:u w:val="single"/>
    </w:rPr>
  </w:style>
  <w:style w:type="character" w:styleId="Textoennegrita">
    <w:name w:val="Strong"/>
    <w:basedOn w:val="Fuentedeprrafopredeter"/>
    <w:uiPriority w:val="22"/>
    <w:qFormat/>
    <w:rsid w:val="00E27238"/>
    <w:rPr>
      <w:b/>
      <w:bCs/>
    </w:rPr>
  </w:style>
  <w:style w:type="paragraph" w:styleId="NormalWeb">
    <w:name w:val="Normal (Web)"/>
    <w:basedOn w:val="Normal"/>
    <w:uiPriority w:val="99"/>
    <w:unhideWhenUsed/>
    <w:rsid w:val="00E27238"/>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sidencia.gob.sv/gobierno-compra-30-millones-para-reserva-nacional-de-granos-basico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XdXoKDh0xG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4324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2021-01-13T19:10:00Z</dcterms:created>
  <dcterms:modified xsi:type="dcterms:W3CDTF">2021-01-13T19:11:00Z</dcterms:modified>
</cp:coreProperties>
</file>