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58" w:rsidRPr="00152E88" w:rsidRDefault="005D7A58" w:rsidP="005D7A58">
      <w:pPr>
        <w:rPr>
          <w:rFonts w:ascii="Book Antiqua" w:hAnsi="Book Antiqua"/>
          <w:sz w:val="24"/>
          <w:szCs w:val="24"/>
        </w:rPr>
      </w:pPr>
      <w:r w:rsidRPr="00152E88">
        <w:rPr>
          <w:rFonts w:ascii="Book Antiqua" w:hAnsi="Book Antiqua"/>
          <w:noProof/>
          <w:sz w:val="24"/>
          <w:szCs w:val="24"/>
          <w:lang w:eastAsia="es-SV"/>
        </w:rPr>
        <w:drawing>
          <wp:anchor distT="0" distB="0" distL="114300" distR="114300" simplePos="0" relativeHeight="251659264" behindDoc="1" locked="0" layoutInCell="1" allowOverlap="1" wp14:anchorId="3FE957CD" wp14:editId="75DA193A">
            <wp:simplePos x="0" y="0"/>
            <wp:positionH relativeFrom="column">
              <wp:posOffset>1704312</wp:posOffset>
            </wp:positionH>
            <wp:positionV relativeFrom="paragraph">
              <wp:posOffset>-614625</wp:posOffset>
            </wp:positionV>
            <wp:extent cx="2374265" cy="13963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265" cy="1396365"/>
                    </a:xfrm>
                    <a:prstGeom prst="rect">
                      <a:avLst/>
                    </a:prstGeom>
                    <a:noFill/>
                  </pic:spPr>
                </pic:pic>
              </a:graphicData>
            </a:graphic>
            <wp14:sizeRelH relativeFrom="page">
              <wp14:pctWidth>0</wp14:pctWidth>
            </wp14:sizeRelH>
            <wp14:sizeRelV relativeFrom="page">
              <wp14:pctHeight>0</wp14:pctHeight>
            </wp14:sizeRelV>
          </wp:anchor>
        </w:drawing>
      </w:r>
    </w:p>
    <w:p w:rsidR="005D7A58" w:rsidRPr="00152E88" w:rsidRDefault="005D7A58" w:rsidP="005D7A58">
      <w:pPr>
        <w:jc w:val="center"/>
        <w:rPr>
          <w:rFonts w:ascii="Book Antiqua" w:hAnsi="Book Antiqua"/>
          <w:sz w:val="24"/>
          <w:szCs w:val="24"/>
        </w:rPr>
      </w:pPr>
    </w:p>
    <w:p w:rsidR="005D7A58" w:rsidRPr="00152E88" w:rsidRDefault="005D7A58" w:rsidP="005D7A58">
      <w:pPr>
        <w:pStyle w:val="NormalWeb"/>
        <w:shd w:val="clear" w:color="auto" w:fill="FFFFFF"/>
        <w:spacing w:before="0" w:beforeAutospacing="0" w:after="150" w:afterAutospacing="0"/>
        <w:jc w:val="center"/>
        <w:rPr>
          <w:rFonts w:ascii="Book Antiqua" w:hAnsi="Book Antiqua"/>
          <w:b/>
        </w:rPr>
      </w:pPr>
    </w:p>
    <w:p w:rsidR="005D7A58" w:rsidRPr="00152E88" w:rsidRDefault="005D7A58" w:rsidP="005D7A58">
      <w:pPr>
        <w:pStyle w:val="NormalWeb"/>
        <w:shd w:val="clear" w:color="auto" w:fill="FFFFFF"/>
        <w:spacing w:before="0" w:beforeAutospacing="0" w:after="150" w:afterAutospacing="0"/>
        <w:jc w:val="center"/>
        <w:rPr>
          <w:rFonts w:ascii="Book Antiqua" w:hAnsi="Book Antiqua"/>
          <w:b/>
        </w:rPr>
      </w:pPr>
      <w:r w:rsidRPr="00152E88">
        <w:rPr>
          <w:rFonts w:ascii="Book Antiqua" w:hAnsi="Book Antiqua"/>
          <w:b/>
        </w:rPr>
        <w:t>RESOLUCIÓN NO. 11</w:t>
      </w:r>
      <w:r>
        <w:rPr>
          <w:rFonts w:ascii="Book Antiqua" w:hAnsi="Book Antiqua"/>
          <w:b/>
        </w:rPr>
        <w:t>5</w:t>
      </w:r>
      <w:r w:rsidRPr="00152E88">
        <w:rPr>
          <w:rFonts w:ascii="Book Antiqua" w:hAnsi="Book Antiqua"/>
          <w:b/>
        </w:rPr>
        <w:t>/2020</w:t>
      </w:r>
    </w:p>
    <w:p w:rsidR="005D7A58" w:rsidRPr="00615B0B" w:rsidRDefault="005D7A58" w:rsidP="005D7A58">
      <w:pPr>
        <w:jc w:val="both"/>
        <w:rPr>
          <w:rFonts w:ascii="Book Antiqua" w:hAnsi="Book Antiqua"/>
          <w:sz w:val="24"/>
          <w:szCs w:val="24"/>
          <w:lang w:val="es-ES" w:eastAsia="es-ES"/>
        </w:rPr>
      </w:pPr>
      <w:r w:rsidRPr="00152E88">
        <w:rPr>
          <w:rFonts w:ascii="Book Antiqua" w:hAnsi="Book Antiqua"/>
          <w:sz w:val="24"/>
          <w:szCs w:val="24"/>
          <w:lang w:val="es-ES" w:eastAsia="es-ES"/>
        </w:rPr>
        <w:t xml:space="preserve">En </w:t>
      </w:r>
      <w:r w:rsidRPr="00152E88">
        <w:rPr>
          <w:rFonts w:ascii="Book Antiqua" w:hAnsi="Book Antiqua"/>
          <w:sz w:val="24"/>
          <w:szCs w:val="24"/>
        </w:rPr>
        <w:t xml:space="preserve">la Unidad de Acceso a la Información Pública del Ministerio de Gobernación y Desarrollo Territorial: San Salvador, a las nueve </w:t>
      </w:r>
      <w:r>
        <w:rPr>
          <w:rFonts w:ascii="Book Antiqua" w:hAnsi="Book Antiqua"/>
          <w:sz w:val="24"/>
          <w:szCs w:val="24"/>
        </w:rPr>
        <w:t xml:space="preserve">horas y  veinte </w:t>
      </w:r>
      <w:r w:rsidRPr="00152E88">
        <w:rPr>
          <w:rFonts w:ascii="Book Antiqua" w:hAnsi="Book Antiqua"/>
          <w:sz w:val="24"/>
          <w:szCs w:val="24"/>
        </w:rPr>
        <w:t>minutos del día veinti</w:t>
      </w:r>
      <w:r>
        <w:rPr>
          <w:rFonts w:ascii="Book Antiqua" w:hAnsi="Book Antiqua"/>
          <w:sz w:val="24"/>
          <w:szCs w:val="24"/>
        </w:rPr>
        <w:t>trés</w:t>
      </w:r>
      <w:r w:rsidRPr="00152E88">
        <w:rPr>
          <w:rFonts w:ascii="Book Antiqua" w:hAnsi="Book Antiqua"/>
          <w:sz w:val="24"/>
          <w:szCs w:val="24"/>
        </w:rPr>
        <w:t xml:space="preserve"> de diciembre de dos mil veinte. </w:t>
      </w:r>
      <w:r w:rsidRPr="00152E88">
        <w:rPr>
          <w:rFonts w:ascii="Book Antiqua" w:hAnsi="Book Antiqua"/>
          <w:b/>
          <w:sz w:val="24"/>
          <w:szCs w:val="24"/>
        </w:rPr>
        <w:t xml:space="preserve">CONSIDERANDO </w:t>
      </w:r>
      <w:r w:rsidRPr="00152E88">
        <w:rPr>
          <w:rFonts w:ascii="Book Antiqua" w:hAnsi="Book Antiqua"/>
          <w:sz w:val="24"/>
          <w:szCs w:val="24"/>
        </w:rPr>
        <w:t>que</w:t>
      </w:r>
      <w:r w:rsidRPr="00152E88">
        <w:rPr>
          <w:rFonts w:ascii="Book Antiqua" w:hAnsi="Book Antiqua"/>
          <w:b/>
          <w:sz w:val="24"/>
          <w:szCs w:val="24"/>
        </w:rPr>
        <w:t xml:space="preserve">: I. </w:t>
      </w:r>
      <w:r w:rsidRPr="00152E88">
        <w:rPr>
          <w:rFonts w:ascii="Book Antiqua" w:hAnsi="Book Antiqua"/>
          <w:sz w:val="24"/>
          <w:szCs w:val="24"/>
        </w:rPr>
        <w:t xml:space="preserve">En </w:t>
      </w:r>
      <w:r>
        <w:rPr>
          <w:rFonts w:ascii="Book Antiqua" w:hAnsi="Book Antiqua"/>
          <w:sz w:val="24"/>
          <w:szCs w:val="24"/>
        </w:rPr>
        <w:t xml:space="preserve">fecha 16 de diciembre de 2020, </w:t>
      </w:r>
      <w:r w:rsidRPr="00152E88">
        <w:rPr>
          <w:rFonts w:ascii="Book Antiqua" w:hAnsi="Book Antiqua"/>
          <w:sz w:val="24"/>
          <w:szCs w:val="24"/>
        </w:rPr>
        <w:t>se recibió por medio de correo electrónico, sol</w:t>
      </w:r>
      <w:r>
        <w:rPr>
          <w:rFonts w:ascii="Book Antiqua" w:hAnsi="Book Antiqua"/>
          <w:sz w:val="24"/>
          <w:szCs w:val="24"/>
        </w:rPr>
        <w:t xml:space="preserve">icitud de información a nombre del señor </w:t>
      </w:r>
      <w:r>
        <w:rPr>
          <w:rFonts w:ascii="Book Antiqua" w:hAnsi="Book Antiqua"/>
          <w:sz w:val="24"/>
          <w:szCs w:val="24"/>
        </w:rPr>
        <w:t>////////</w:t>
      </w:r>
      <w:r w:rsidRPr="00152E88">
        <w:rPr>
          <w:rFonts w:ascii="Book Antiqua" w:hAnsi="Book Antiqua"/>
          <w:sz w:val="24"/>
          <w:szCs w:val="24"/>
        </w:rPr>
        <w:t xml:space="preserve">, </w:t>
      </w:r>
      <w:r w:rsidRPr="00152E88">
        <w:rPr>
          <w:rFonts w:ascii="Book Antiqua" w:hAnsi="Book Antiqua"/>
          <w:sz w:val="24"/>
          <w:szCs w:val="24"/>
          <w:lang w:val="es-ES" w:eastAsia="es-ES"/>
        </w:rPr>
        <w:t xml:space="preserve">registrada por esta Unidad bajo el correlativo </w:t>
      </w:r>
      <w:r w:rsidRPr="00152E88">
        <w:rPr>
          <w:rFonts w:ascii="Book Antiqua" w:hAnsi="Book Antiqua"/>
          <w:b/>
          <w:sz w:val="24"/>
          <w:szCs w:val="24"/>
          <w:lang w:val="es-ES" w:eastAsia="es-ES"/>
        </w:rPr>
        <w:t>MIGOBDT-2020-011</w:t>
      </w:r>
      <w:r>
        <w:rPr>
          <w:rFonts w:ascii="Book Antiqua" w:hAnsi="Book Antiqua"/>
          <w:b/>
          <w:sz w:val="24"/>
          <w:szCs w:val="24"/>
          <w:lang w:val="es-ES" w:eastAsia="es-ES"/>
        </w:rPr>
        <w:t>7</w:t>
      </w:r>
      <w:r>
        <w:rPr>
          <w:rFonts w:ascii="Book Antiqua" w:hAnsi="Book Antiqua"/>
          <w:sz w:val="24"/>
          <w:szCs w:val="24"/>
          <w:shd w:val="clear" w:color="auto" w:fill="FFFFFF"/>
        </w:rPr>
        <w:t xml:space="preserve">, </w:t>
      </w:r>
      <w:r w:rsidRPr="00057BA5">
        <w:rPr>
          <w:rFonts w:ascii="Book Antiqua" w:hAnsi="Book Antiqua"/>
          <w:shd w:val="clear" w:color="auto" w:fill="FFFFFF"/>
        </w:rPr>
        <w:t>en la que esencial y textualmente re</w:t>
      </w:r>
      <w:r>
        <w:rPr>
          <w:rFonts w:ascii="Book Antiqua" w:hAnsi="Book Antiqua"/>
          <w:shd w:val="clear" w:color="auto" w:fill="FFFFFF"/>
        </w:rPr>
        <w:t xml:space="preserve">quiere: </w:t>
      </w:r>
      <w:r w:rsidRPr="008765BA">
        <w:rPr>
          <w:rFonts w:ascii="Book Antiqua" w:hAnsi="Book Antiqua"/>
          <w:i/>
          <w:shd w:val="clear" w:color="auto" w:fill="FFFFFF"/>
        </w:rPr>
        <w:t>“(…</w:t>
      </w:r>
      <w:proofErr w:type="gramStart"/>
      <w:r w:rsidRPr="008765BA">
        <w:rPr>
          <w:rFonts w:ascii="Book Antiqua" w:hAnsi="Book Antiqua"/>
          <w:i/>
          <w:shd w:val="clear" w:color="auto" w:fill="FFFFFF"/>
        </w:rPr>
        <w:t>)</w:t>
      </w:r>
      <w:r w:rsidRPr="008765BA">
        <w:rPr>
          <w:rFonts w:ascii="Book Antiqua" w:eastAsia="Times New Roman" w:hAnsi="Book Antiqua" w:cs="Arial"/>
          <w:i/>
          <w:color w:val="000000"/>
          <w:lang w:eastAsia="es-SV"/>
        </w:rPr>
        <w:t>Nombre</w:t>
      </w:r>
      <w:proofErr w:type="gramEnd"/>
      <w:r w:rsidRPr="008765BA">
        <w:rPr>
          <w:rFonts w:ascii="Book Antiqua" w:eastAsia="Times New Roman" w:hAnsi="Book Antiqua" w:cs="Arial"/>
          <w:i/>
          <w:color w:val="000000"/>
          <w:lang w:eastAsia="es-SV"/>
        </w:rPr>
        <w:t xml:space="preserve"> de las instituciones involucradas en el proceso de entrega de la canasta solidaria el Programa de Emergencia Sanitaria-PES. Número de empleados de Gobierno de otras entidades en apoyo al Ministerio de Gobernación y Desarrollo Territorial involucrados en el proceso de entrega de la canasta solidaria del Programa de Emergencia Sanitaria-PES. Número de canastas solidarias entregadas a entidades gubernamentales que apoyaron el proceso de distribución en el marco de la emergencia por COVID-19 (FAES, ISDEMU, MAG, CAPRES, Alcaldías, entre otros). Nombre de las alcaldías que participaron en la entrega de las Canastas solidarias del PES / número de empleados delegados para la entrega por parte de las municipalidades para la entrega de las Canastas Solidarias del PES. Detalle de los lugares físicos (públicos o privados) utilizados para la elaboración y el resguardo de las canastas solidarias / número de personas contratadas (externas al Gobierno) en cada lugar para la elabora</w:t>
      </w:r>
      <w:r>
        <w:rPr>
          <w:rFonts w:ascii="Book Antiqua" w:eastAsia="Times New Roman" w:hAnsi="Book Antiqua" w:cs="Arial"/>
          <w:i/>
          <w:color w:val="000000"/>
          <w:lang w:eastAsia="es-SV"/>
        </w:rPr>
        <w:t xml:space="preserve">ción de las canastas solidarias”  </w:t>
      </w:r>
      <w:r w:rsidRPr="00057BA5">
        <w:rPr>
          <w:rFonts w:ascii="Book Antiqua" w:hAnsi="Book Antiqua"/>
          <w:b/>
          <w:shd w:val="clear" w:color="auto" w:fill="FFFFFF"/>
        </w:rPr>
        <w:t xml:space="preserve">II. </w:t>
      </w:r>
      <w:r w:rsidRPr="00152E88">
        <w:rPr>
          <w:rFonts w:ascii="Book Antiqua" w:hAnsi="Book Antiqua"/>
          <w:color w:val="000000"/>
          <w:sz w:val="24"/>
          <w:szCs w:val="24"/>
        </w:rPr>
        <w:t>Que la referida solicitud cumple con los requisitos establecidos en el Art. 66 de la Ley de Acceso a la Información Pública, no obstante, se advierte que como precedente se han realizado gestiones para obtener información relacionada al Programa de Emergencia  Sanitaria- PES, que culminó con la resolución número cuarenta y ocho de fecha 17 de agosto de 2020, en la que se expresa que las unidades administrativas consultadas únicamente colaboran en la distribución de los paquetes, es decir, por lo que no es posible obtener la información</w:t>
      </w:r>
      <w:r>
        <w:rPr>
          <w:rFonts w:ascii="Book Antiqua" w:hAnsi="Book Antiqua"/>
          <w:color w:val="000000"/>
          <w:sz w:val="24"/>
          <w:szCs w:val="24"/>
        </w:rPr>
        <w:t xml:space="preserve">. </w:t>
      </w:r>
      <w:r w:rsidRPr="00152E88">
        <w:rPr>
          <w:rFonts w:ascii="Book Antiqua" w:hAnsi="Book Antiqua"/>
          <w:color w:val="000000"/>
          <w:sz w:val="24"/>
          <w:szCs w:val="24"/>
        </w:rPr>
        <w:t xml:space="preserve">En tal sentido, el Art. 62 de la LAIP establece: “los entes obligados deberán  </w:t>
      </w:r>
      <w:r w:rsidRPr="00152E88">
        <w:rPr>
          <w:rFonts w:ascii="Book Antiqua" w:hAnsi="Book Antiqua"/>
          <w:b/>
          <w:color w:val="000000"/>
          <w:sz w:val="24"/>
          <w:szCs w:val="24"/>
          <w:u w:val="single"/>
        </w:rPr>
        <w:t xml:space="preserve">entregar únicamente información que se encuentre en su poder </w:t>
      </w:r>
      <w:r w:rsidRPr="00152E88">
        <w:rPr>
          <w:rFonts w:ascii="Book Antiqua" w:hAnsi="Book Antiqua"/>
          <w:color w:val="000000"/>
          <w:sz w:val="24"/>
          <w:szCs w:val="24"/>
        </w:rPr>
        <w:t xml:space="preserve">(…)”.  </w:t>
      </w:r>
      <w:r w:rsidRPr="00152E88">
        <w:rPr>
          <w:rFonts w:ascii="Book Antiqua" w:hAnsi="Book Antiqua"/>
          <w:b/>
          <w:color w:val="000000"/>
          <w:sz w:val="24"/>
          <w:szCs w:val="24"/>
        </w:rPr>
        <w:t>III.</w:t>
      </w:r>
      <w:r>
        <w:rPr>
          <w:rFonts w:ascii="Book Antiqua" w:hAnsi="Book Antiqua"/>
          <w:color w:val="000000"/>
          <w:sz w:val="24"/>
          <w:szCs w:val="24"/>
        </w:rPr>
        <w:t xml:space="preserve"> </w:t>
      </w:r>
      <w:r w:rsidRPr="00152E88">
        <w:rPr>
          <w:rFonts w:ascii="Book Antiqua" w:hAnsi="Book Antiqua"/>
          <w:color w:val="000000"/>
          <w:sz w:val="24"/>
          <w:szCs w:val="24"/>
        </w:rPr>
        <w:t xml:space="preserve">Que el </w:t>
      </w:r>
      <w:r w:rsidRPr="00152E88">
        <w:rPr>
          <w:rFonts w:ascii="Book Antiqua" w:hAnsi="Book Antiqua" w:cs="Helvetica"/>
          <w:sz w:val="24"/>
          <w:szCs w:val="24"/>
          <w:shd w:val="clear" w:color="auto" w:fill="FFFFFF"/>
        </w:rPr>
        <w:t>Art. 68 de la LAIP inciso segundo establece: “</w:t>
      </w:r>
      <w:r w:rsidRPr="00152E88">
        <w:rPr>
          <w:rFonts w:ascii="Book Antiqua" w:hAnsi="Book Antiqua" w:cs="Helvetica"/>
          <w:i/>
          <w:sz w:val="24"/>
          <w:szCs w:val="24"/>
          <w:shd w:val="clear" w:color="auto" w:fill="FFFFFF"/>
        </w:rPr>
        <w:t xml:space="preserve">Cuando una solicitud de información sea dirigida a un ente obligado distinto del competente, éste deberá informar al interesado la entidad a la que debe dirigirse”, </w:t>
      </w:r>
      <w:r w:rsidRPr="00152E88">
        <w:rPr>
          <w:rFonts w:ascii="Book Antiqua" w:hAnsi="Book Antiqua" w:cs="Helvetica"/>
          <w:sz w:val="24"/>
          <w:szCs w:val="24"/>
          <w:shd w:val="clear" w:color="auto" w:fill="FFFFFF"/>
        </w:rPr>
        <w:t>asimismo, el Art. 49 del Reglamento de la LAIP, expresa que: “Las Unidades de Acceso a la Información Pública que reciban una solicitud de acceso a la información que no corresponda a su respectiva institución, deberán auxiliar u orientar a los particulares (…) sobre la  Unidad de Acceso a la Información Pública que pudiese poseerla (…)”</w:t>
      </w:r>
      <w:r>
        <w:rPr>
          <w:rFonts w:ascii="Book Antiqua" w:hAnsi="Book Antiqua" w:cs="Helvetica"/>
          <w:sz w:val="24"/>
          <w:szCs w:val="24"/>
          <w:shd w:val="clear" w:color="auto" w:fill="FFFFFF"/>
        </w:rPr>
        <w:t xml:space="preserve">,  que en ese sentido, </w:t>
      </w:r>
      <w:r>
        <w:rPr>
          <w:rFonts w:ascii="Book Antiqua" w:hAnsi="Book Antiqua"/>
          <w:color w:val="000000"/>
          <w:sz w:val="24"/>
          <w:szCs w:val="24"/>
        </w:rPr>
        <w:t xml:space="preserve">se presume que el ente que </w:t>
      </w:r>
      <w:r>
        <w:rPr>
          <w:rFonts w:ascii="Book Antiqua" w:hAnsi="Book Antiqua"/>
          <w:color w:val="000000"/>
          <w:sz w:val="24"/>
          <w:szCs w:val="24"/>
        </w:rPr>
        <w:lastRenderedPageBreak/>
        <w:t>administra la información solicitada es Presidencia de la República.</w:t>
      </w:r>
      <w:r>
        <w:rPr>
          <w:rFonts w:ascii="Book Antiqua" w:hAnsi="Book Antiqua" w:cs="Helvetica"/>
          <w:sz w:val="24"/>
          <w:szCs w:val="24"/>
          <w:shd w:val="clear" w:color="auto" w:fill="FFFFFF"/>
        </w:rPr>
        <w:t xml:space="preserve"> </w:t>
      </w:r>
      <w:r w:rsidRPr="00152E88">
        <w:rPr>
          <w:rFonts w:ascii="Book Antiqua" w:hAnsi="Book Antiqua"/>
          <w:b/>
          <w:sz w:val="24"/>
          <w:szCs w:val="24"/>
          <w:lang w:eastAsia="es-ES"/>
        </w:rPr>
        <w:t>POR TANTO</w:t>
      </w:r>
      <w:r w:rsidRPr="00152E88">
        <w:rPr>
          <w:rFonts w:ascii="Book Antiqua" w:hAnsi="Book Antiqua"/>
          <w:sz w:val="24"/>
          <w:szCs w:val="24"/>
          <w:lang w:eastAsia="es-ES"/>
        </w:rPr>
        <w:t xml:space="preserve">, </w:t>
      </w:r>
      <w:r w:rsidRPr="00152E88">
        <w:rPr>
          <w:rFonts w:ascii="Book Antiqua" w:hAnsi="Book Antiqua"/>
          <w:sz w:val="24"/>
          <w:szCs w:val="24"/>
          <w:lang w:val="es-ES" w:eastAsia="es-ES"/>
        </w:rPr>
        <w:t xml:space="preserve">conforme a los Arts. 86 Inciso 3° de la Constitución y 2, 7, 9, 50, 62, 66 y 68 esta Unidad de Acceso a la Información Pública, </w:t>
      </w:r>
      <w:r w:rsidRPr="00152E88">
        <w:rPr>
          <w:rFonts w:ascii="Book Antiqua" w:hAnsi="Book Antiqua"/>
          <w:b/>
          <w:sz w:val="24"/>
          <w:szCs w:val="24"/>
          <w:lang w:val="es-ES" w:eastAsia="es-ES"/>
        </w:rPr>
        <w:t>RESUELVE:</w:t>
      </w:r>
      <w:r w:rsidRPr="00152E88">
        <w:rPr>
          <w:rFonts w:ascii="Book Antiqua" w:hAnsi="Book Antiqua"/>
          <w:sz w:val="24"/>
          <w:szCs w:val="24"/>
          <w:lang w:val="es-ES" w:eastAsia="es-ES"/>
        </w:rPr>
        <w:t xml:space="preserve"> </w:t>
      </w:r>
      <w:r>
        <w:rPr>
          <w:rFonts w:ascii="Book Antiqua" w:hAnsi="Book Antiqua"/>
          <w:sz w:val="24"/>
          <w:szCs w:val="24"/>
          <w:lang w:val="es-ES" w:eastAsia="es-ES"/>
        </w:rPr>
        <w:t xml:space="preserve">1) Declarar la inadmisible la solicitud, dado que no es competencia de este Ministerio generar dicha información. 2) Orientar al solicitante  </w:t>
      </w:r>
      <w:r w:rsidRPr="00152E88">
        <w:rPr>
          <w:rFonts w:ascii="Book Antiqua" w:hAnsi="Book Antiqua"/>
          <w:sz w:val="24"/>
          <w:szCs w:val="24"/>
          <w:lang w:val="es-ES" w:eastAsia="es-ES"/>
        </w:rPr>
        <w:t xml:space="preserve">que dirija su solicitud ante las Unidades de Acceso a la Información Pública </w:t>
      </w:r>
      <w:r>
        <w:rPr>
          <w:rFonts w:ascii="Book Antiqua" w:hAnsi="Book Antiqua"/>
          <w:sz w:val="24"/>
          <w:szCs w:val="24"/>
          <w:lang w:val="es-ES" w:eastAsia="es-ES"/>
        </w:rPr>
        <w:t xml:space="preserve">de Presidencia de la República. 3) Queda expedito el derecho a recurrir del solicitante. </w:t>
      </w:r>
      <w:r w:rsidRPr="00EE0728">
        <w:rPr>
          <w:rFonts w:ascii="Book Antiqua" w:hAnsi="Book Antiqua"/>
          <w:b/>
          <w:sz w:val="24"/>
          <w:szCs w:val="24"/>
          <w:lang w:val="es-ES" w:eastAsia="es-ES"/>
        </w:rPr>
        <w:t>NOTIFIQUESE</w:t>
      </w:r>
    </w:p>
    <w:p w:rsidR="005D7A58" w:rsidRPr="00152E88" w:rsidRDefault="005D7A58" w:rsidP="005D7A58">
      <w:pPr>
        <w:jc w:val="both"/>
        <w:rPr>
          <w:rFonts w:ascii="Book Antiqua" w:hAnsi="Book Antiqua"/>
          <w:color w:val="000000"/>
          <w:sz w:val="24"/>
          <w:szCs w:val="24"/>
        </w:rPr>
      </w:pPr>
    </w:p>
    <w:p w:rsidR="005D7A58" w:rsidRPr="00152E88" w:rsidRDefault="005D7A58" w:rsidP="005D7A58">
      <w:pPr>
        <w:jc w:val="both"/>
        <w:rPr>
          <w:rFonts w:ascii="Book Antiqua" w:hAnsi="Book Antiqua"/>
          <w:color w:val="000000"/>
          <w:sz w:val="24"/>
          <w:szCs w:val="24"/>
        </w:rPr>
      </w:pPr>
    </w:p>
    <w:p w:rsidR="005D7A58" w:rsidRPr="00152E88" w:rsidRDefault="005D7A58" w:rsidP="005D7A58">
      <w:pPr>
        <w:jc w:val="both"/>
        <w:rPr>
          <w:rFonts w:ascii="Book Antiqua" w:hAnsi="Book Antiqua"/>
          <w:color w:val="000000"/>
          <w:sz w:val="24"/>
          <w:szCs w:val="24"/>
        </w:rPr>
      </w:pPr>
    </w:p>
    <w:p w:rsidR="005D7A58" w:rsidRPr="00152E88" w:rsidRDefault="005D7A58" w:rsidP="005D7A58">
      <w:pPr>
        <w:spacing w:after="0"/>
        <w:jc w:val="center"/>
        <w:rPr>
          <w:rFonts w:ascii="Book Antiqua" w:hAnsi="Book Antiqua" w:cs="Helvetica"/>
          <w:b/>
          <w:sz w:val="24"/>
          <w:szCs w:val="24"/>
          <w:shd w:val="clear" w:color="auto" w:fill="FFFFFF"/>
        </w:rPr>
      </w:pPr>
      <w:r w:rsidRPr="00152E88">
        <w:rPr>
          <w:rFonts w:ascii="Book Antiqua" w:hAnsi="Book Antiqua" w:cs="Helvetica"/>
          <w:b/>
          <w:sz w:val="24"/>
          <w:szCs w:val="24"/>
          <w:shd w:val="clear" w:color="auto" w:fill="FFFFFF"/>
        </w:rPr>
        <w:t>JENNI VANESSA QUINTANILLA GARCÍA</w:t>
      </w:r>
    </w:p>
    <w:p w:rsidR="005D7A58" w:rsidRPr="00152E88" w:rsidRDefault="005D7A58" w:rsidP="005D7A58">
      <w:pPr>
        <w:spacing w:after="0"/>
        <w:jc w:val="center"/>
        <w:rPr>
          <w:rFonts w:ascii="Book Antiqua" w:hAnsi="Book Antiqua" w:cs="Helvetica"/>
          <w:b/>
          <w:sz w:val="24"/>
          <w:szCs w:val="24"/>
          <w:shd w:val="clear" w:color="auto" w:fill="FFFFFF"/>
        </w:rPr>
      </w:pPr>
      <w:r w:rsidRPr="00152E88">
        <w:rPr>
          <w:rFonts w:ascii="Book Antiqua" w:hAnsi="Book Antiqua" w:cs="Helvetica"/>
          <w:b/>
          <w:sz w:val="24"/>
          <w:szCs w:val="24"/>
          <w:shd w:val="clear" w:color="auto" w:fill="FFFFFF"/>
        </w:rPr>
        <w:t>OFICIAL DE INFORMACIÓN AD-HONOREM</w:t>
      </w:r>
    </w:p>
    <w:p w:rsidR="005D7A58" w:rsidRPr="00B128A9" w:rsidRDefault="005D7A58" w:rsidP="005D7A58"/>
    <w:p w:rsidR="005D7A58" w:rsidRDefault="005D7A58" w:rsidP="005D7A58"/>
    <w:p w:rsidR="005D7A58" w:rsidRDefault="005D7A58" w:rsidP="005D7A58"/>
    <w:p w:rsidR="00CA19CD" w:rsidRPr="0022486B" w:rsidRDefault="00CA19CD" w:rsidP="00CA19CD">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CA19CD" w:rsidRDefault="00CA19CD" w:rsidP="00CA19CD"/>
    <w:p w:rsidR="005D7A58" w:rsidRPr="00EE0728" w:rsidRDefault="005D7A58" w:rsidP="005D7A58">
      <w:pPr>
        <w:jc w:val="both"/>
        <w:rPr>
          <w:rFonts w:ascii="Book Antiqua" w:hAnsi="Book Antiqua" w:cs="Helvetica"/>
          <w:sz w:val="24"/>
          <w:szCs w:val="24"/>
          <w:shd w:val="clear" w:color="auto" w:fill="FFFFFF"/>
        </w:rPr>
      </w:pPr>
      <w:bookmarkStart w:id="0" w:name="_GoBack"/>
      <w:bookmarkEnd w:id="0"/>
    </w:p>
    <w:p w:rsidR="005D7A58" w:rsidRPr="00152E88" w:rsidRDefault="005D7A58" w:rsidP="005D7A58">
      <w:pPr>
        <w:jc w:val="both"/>
        <w:rPr>
          <w:rFonts w:ascii="Book Antiqua" w:hAnsi="Book Antiqua"/>
          <w:color w:val="000000"/>
          <w:sz w:val="24"/>
          <w:szCs w:val="24"/>
        </w:rPr>
      </w:pPr>
    </w:p>
    <w:p w:rsidR="005D7A58" w:rsidRPr="00152E88" w:rsidRDefault="005D7A58" w:rsidP="005D7A58">
      <w:pPr>
        <w:jc w:val="both"/>
        <w:rPr>
          <w:rFonts w:ascii="Book Antiqua" w:hAnsi="Book Antiqua"/>
          <w:color w:val="000000"/>
          <w:sz w:val="24"/>
          <w:szCs w:val="24"/>
        </w:rPr>
      </w:pPr>
    </w:p>
    <w:p w:rsidR="005D7A58" w:rsidRDefault="005D7A58" w:rsidP="005D7A58"/>
    <w:p w:rsidR="00DD3B70" w:rsidRDefault="00CA19CD"/>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58"/>
    <w:rsid w:val="005D7A58"/>
    <w:rsid w:val="00876156"/>
    <w:rsid w:val="00CA19CD"/>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7A5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7A5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2</cp:revision>
  <dcterms:created xsi:type="dcterms:W3CDTF">2021-01-13T19:13:00Z</dcterms:created>
  <dcterms:modified xsi:type="dcterms:W3CDTF">2021-01-13T19:15:00Z</dcterms:modified>
</cp:coreProperties>
</file>