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3" w:rsidRDefault="00FB5FD3" w:rsidP="00FB5FD3">
      <w:pPr>
        <w:spacing w:after="160" w:line="259" w:lineRule="auto"/>
        <w:rPr>
          <w:rFonts w:eastAsia="Calibri"/>
          <w:lang w:val="es-ES" w:eastAsia="en-US"/>
        </w:rPr>
      </w:pPr>
    </w:p>
    <w:p w:rsidR="000A6A37" w:rsidRDefault="000A6A37" w:rsidP="00FB5FD3">
      <w:pPr>
        <w:spacing w:after="160" w:line="259" w:lineRule="auto"/>
        <w:rPr>
          <w:rFonts w:eastAsia="Calibri"/>
          <w:lang w:val="es-ES" w:eastAsia="en-US"/>
        </w:rPr>
      </w:pPr>
    </w:p>
    <w:p w:rsidR="000A6A37" w:rsidRPr="000A6A37" w:rsidRDefault="000A6A37" w:rsidP="00FB5FD3">
      <w:pPr>
        <w:spacing w:after="160" w:line="259" w:lineRule="auto"/>
        <w:rPr>
          <w:rFonts w:eastAsia="Calibri"/>
          <w:lang w:val="es-ES" w:eastAsia="en-US"/>
        </w:rPr>
      </w:pPr>
    </w:p>
    <w:p w:rsidR="000A6A37" w:rsidRPr="000A6A37" w:rsidRDefault="000A6A37" w:rsidP="00FB5FD3">
      <w:pPr>
        <w:spacing w:after="160" w:line="259" w:lineRule="auto"/>
        <w:rPr>
          <w:rFonts w:eastAsia="Calibri"/>
          <w:lang w:val="es-ES" w:eastAsia="en-US"/>
        </w:rPr>
      </w:pPr>
      <w:r w:rsidRPr="000A6A37">
        <w:rPr>
          <w:rFonts w:eastAsia="Calibri"/>
          <w:lang w:val="es-ES" w:eastAsia="en-US"/>
        </w:rPr>
        <w:t xml:space="preserve">La Dirección </w:t>
      </w:r>
      <w:r w:rsidRPr="000A6A37">
        <w:rPr>
          <w:rFonts w:eastAsia="Calibri"/>
          <w:b/>
          <w:lang w:val="es-ES" w:eastAsia="en-US"/>
        </w:rPr>
        <w:t>General de Estadísticas y Censos (DIGESTYC</w:t>
      </w:r>
      <w:r w:rsidRPr="000A6A37">
        <w:rPr>
          <w:rFonts w:eastAsia="Calibri"/>
          <w:lang w:val="es-ES" w:eastAsia="en-US"/>
        </w:rPr>
        <w:t>), en atención a sus requerimientos, elaboro cuadro en formato Excel que detalla la información.</w:t>
      </w:r>
    </w:p>
    <w:p w:rsidR="000A6A37" w:rsidRPr="000A6A37" w:rsidRDefault="000A6A37" w:rsidP="00FB5FD3">
      <w:pPr>
        <w:spacing w:after="160" w:line="259" w:lineRule="auto"/>
        <w:rPr>
          <w:rFonts w:eastAsia="Calibri"/>
          <w:lang w:val="es-ES" w:eastAsia="en-US"/>
        </w:rPr>
      </w:pPr>
      <w:r w:rsidRPr="000A6A37">
        <w:rPr>
          <w:rFonts w:eastAsia="Calibri"/>
          <w:lang w:val="es-ES" w:eastAsia="en-US"/>
        </w:rPr>
        <w:t>Se entregaron las variables:</w:t>
      </w:r>
    </w:p>
    <w:p w:rsidR="000A6A37" w:rsidRPr="000A6A37" w:rsidRDefault="000A6A37" w:rsidP="000A6A37">
      <w:pPr>
        <w:pStyle w:val="Prrafodelista"/>
        <w:numPr>
          <w:ilvl w:val="0"/>
          <w:numId w:val="5"/>
        </w:numPr>
        <w:spacing w:after="160" w:line="259" w:lineRule="auto"/>
        <w:rPr>
          <w:rFonts w:eastAsia="Calibri"/>
        </w:rPr>
      </w:pPr>
      <w:r w:rsidRPr="000A6A37">
        <w:rPr>
          <w:rFonts w:eastAsia="Calibri"/>
        </w:rPr>
        <w:t>Generación de Empleo</w:t>
      </w:r>
    </w:p>
    <w:p w:rsidR="000A6A37" w:rsidRPr="000A6A37" w:rsidRDefault="000A6A37" w:rsidP="000A6A37">
      <w:pPr>
        <w:pStyle w:val="Prrafodelista"/>
        <w:numPr>
          <w:ilvl w:val="0"/>
          <w:numId w:val="5"/>
        </w:numPr>
        <w:spacing w:after="160" w:line="259" w:lineRule="auto"/>
        <w:rPr>
          <w:rFonts w:eastAsia="Calibri"/>
        </w:rPr>
      </w:pPr>
      <w:r w:rsidRPr="000A6A37">
        <w:rPr>
          <w:rFonts w:eastAsia="Calibri"/>
        </w:rPr>
        <w:t xml:space="preserve">Tamaño de las Empresas </w:t>
      </w:r>
    </w:p>
    <w:p w:rsidR="000A6A37" w:rsidRPr="000A6A37" w:rsidRDefault="000A6A37" w:rsidP="000A6A37">
      <w:pPr>
        <w:pStyle w:val="Prrafodelista"/>
        <w:numPr>
          <w:ilvl w:val="0"/>
          <w:numId w:val="5"/>
        </w:numPr>
        <w:spacing w:after="160" w:line="259" w:lineRule="auto"/>
        <w:rPr>
          <w:rFonts w:eastAsia="Calibri"/>
        </w:rPr>
      </w:pPr>
      <w:r w:rsidRPr="000A6A37">
        <w:rPr>
          <w:rFonts w:eastAsia="Calibri"/>
        </w:rPr>
        <w:t xml:space="preserve">Sector económico </w:t>
      </w:r>
    </w:p>
    <w:p w:rsidR="000A6A37" w:rsidRPr="000A6A37" w:rsidRDefault="000A6A37" w:rsidP="000A6A37">
      <w:pPr>
        <w:pStyle w:val="Prrafodelista"/>
        <w:numPr>
          <w:ilvl w:val="0"/>
          <w:numId w:val="5"/>
        </w:numPr>
        <w:spacing w:after="160" w:line="259" w:lineRule="auto"/>
        <w:rPr>
          <w:rFonts w:eastAsia="Calibri"/>
        </w:rPr>
      </w:pPr>
      <w:r w:rsidRPr="000A6A37">
        <w:rPr>
          <w:rFonts w:eastAsia="Calibri"/>
        </w:rPr>
        <w:t xml:space="preserve">Ubicación geográfica  </w:t>
      </w: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0E" w:rsidRDefault="00AD600E" w:rsidP="00F425A5">
      <w:pPr>
        <w:spacing w:after="0" w:line="240" w:lineRule="auto"/>
      </w:pPr>
      <w:r>
        <w:separator/>
      </w:r>
    </w:p>
  </w:endnote>
  <w:endnote w:type="continuationSeparator" w:id="0">
    <w:p w:rsidR="00AD600E" w:rsidRDefault="00AD600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116AF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0E" w:rsidRDefault="00AD600E" w:rsidP="00F425A5">
      <w:pPr>
        <w:spacing w:after="0" w:line="240" w:lineRule="auto"/>
      </w:pPr>
      <w:r>
        <w:separator/>
      </w:r>
    </w:p>
  </w:footnote>
  <w:footnote w:type="continuationSeparator" w:id="0">
    <w:p w:rsidR="00AD600E" w:rsidRDefault="00AD600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68A57A1"/>
    <w:multiLevelType w:val="hybridMultilevel"/>
    <w:tmpl w:val="51489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A6A37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15811"/>
    <w:rsid w:val="00116AF0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600E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215379-C764-4E14-93E8-E9ECB971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2019-06-19T21:55:00Z</dcterms:created>
  <dcterms:modified xsi:type="dcterms:W3CDTF">2019-06-19T21:55:00Z</dcterms:modified>
</cp:coreProperties>
</file>