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4" w:rsidRDefault="00601E84"/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007C7A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Berlin Sans FB Demi" w:eastAsiaTheme="majorEastAsia" w:hAnsi="Berlin Sans FB Demi" w:cstheme="majorBidi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007C7A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 w:rsidP="00173633">
          <w:pPr>
            <w:jc w:val="center"/>
          </w:pPr>
        </w:p>
        <w:p w:rsidR="00B2413F" w:rsidRDefault="00E778BD" w:rsidP="00E778BD">
          <w:pPr>
            <w:jc w:val="center"/>
          </w:pPr>
          <w:r w:rsidRPr="00E778BD">
            <w:rPr>
              <w:noProof/>
              <w:lang w:val="es-SV" w:eastAsia="es-SV"/>
            </w:rPr>
            <w:drawing>
              <wp:inline distT="0" distB="0" distL="0" distR="0">
                <wp:extent cx="3876675" cy="990706"/>
                <wp:effectExtent l="19050" t="0" r="9525" b="0"/>
                <wp:docPr id="4" name="Imagen 3" descr="C:\Users\jlara\Documents\DOCUMENTOS RNPN\Logos RNPN 2021\logos RN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lara\Documents\DOCUMENTOS RNPN\Logos RNPN 2021\logos RN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99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007C7A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486FAF">
                      <w:rPr>
                        <w:lang w:val="es-SV"/>
                      </w:rPr>
                      <w:t>julio</w:t>
                    </w:r>
                    <w:r>
                      <w:rPr>
                        <w:lang w:val="es-SV"/>
                      </w:rPr>
                      <w:t xml:space="preserve"> 2022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804185" w:rsidRDefault="00804185" w:rsidP="00B2413F">
      <w:pPr>
        <w:spacing w:line="360" w:lineRule="auto"/>
        <w:jc w:val="center"/>
        <w:rPr>
          <w:b/>
          <w:sz w:val="24"/>
        </w:rPr>
      </w:pPr>
    </w:p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1979"/>
        <w:gridCol w:w="7718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C266C1" w:rsidRDefault="007226F0" w:rsidP="008F3741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C266C1">
              <w:rPr>
                <w:b/>
                <w:color w:val="000000" w:themeColor="text1"/>
                <w:sz w:val="28"/>
              </w:rPr>
              <w:t>1.AREA DE IDENTIFICACIÓN</w:t>
            </w:r>
          </w:p>
        </w:tc>
      </w:tr>
      <w:tr w:rsidR="007226F0" w:rsidTr="00383FC9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  <w:vAlign w:val="center"/>
          </w:tcPr>
          <w:p w:rsidR="007226F0" w:rsidRDefault="007226F0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383FC9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</w:t>
            </w:r>
            <w:r w:rsidR="006A38EA">
              <w:rPr>
                <w:b/>
                <w:sz w:val="24"/>
              </w:rPr>
              <w:t>planta edificio 1</w:t>
            </w:r>
            <w:r w:rsidR="00994C98">
              <w:rPr>
                <w:b/>
                <w:sz w:val="24"/>
              </w:rPr>
              <w:t>)</w:t>
            </w:r>
          </w:p>
          <w:p w:rsidR="00996DC5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424C09">
              <w:rPr>
                <w:b/>
                <w:sz w:val="24"/>
              </w:rPr>
              <w:t>Primera planta Edificio 2</w:t>
            </w:r>
            <w:r w:rsidR="005C2317">
              <w:rPr>
                <w:b/>
                <w:sz w:val="24"/>
              </w:rPr>
              <w:t>)</w:t>
            </w:r>
          </w:p>
          <w:p w:rsidR="006A38EA" w:rsidRDefault="0030523C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Archivo Central</w:t>
            </w:r>
            <w:r w:rsidR="005706D2">
              <w:rPr>
                <w:b/>
                <w:sz w:val="24"/>
              </w:rPr>
              <w:t xml:space="preserve"> (</w:t>
            </w:r>
            <w:r w:rsidR="006A38EA">
              <w:rPr>
                <w:b/>
                <w:sz w:val="24"/>
              </w:rPr>
              <w:t>Primera planta edificio 2)</w:t>
            </w:r>
          </w:p>
          <w:p w:rsidR="0030523C" w:rsidRPr="006B38C2" w:rsidRDefault="006A38EA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Edificio </w:t>
            </w:r>
            <w:proofErr w:type="spellStart"/>
            <w:r>
              <w:rPr>
                <w:b/>
                <w:sz w:val="24"/>
              </w:rPr>
              <w:t>Carbonell</w:t>
            </w:r>
            <w:proofErr w:type="spellEnd"/>
            <w:r>
              <w:rPr>
                <w:b/>
                <w:sz w:val="24"/>
              </w:rPr>
              <w:t xml:space="preserve">  1 y 2</w:t>
            </w:r>
          </w:p>
          <w:p w:rsidR="00996DC5" w:rsidRPr="006B38C2" w:rsidRDefault="006A38EA" w:rsidP="00996DC5">
            <w:pPr>
              <w:rPr>
                <w:sz w:val="24"/>
              </w:rPr>
            </w:pPr>
            <w:r>
              <w:rPr>
                <w:sz w:val="24"/>
              </w:rPr>
              <w:t xml:space="preserve">Alameda Manuel Enrique Araujo y pasaje </w:t>
            </w:r>
            <w:proofErr w:type="spellStart"/>
            <w:r>
              <w:rPr>
                <w:sz w:val="24"/>
              </w:rPr>
              <w:t>Carbonell</w:t>
            </w:r>
            <w:proofErr w:type="spellEnd"/>
            <w:r>
              <w:rPr>
                <w:sz w:val="24"/>
              </w:rPr>
              <w:t>, San Salvador</w:t>
            </w:r>
          </w:p>
          <w:p w:rsidR="00996DC5" w:rsidRPr="006B38C2" w:rsidRDefault="00C35E01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A38EA">
            <w:pPr>
              <w:jc w:val="center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Default="00CD4D79" w:rsidP="00996DC5"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30523C" w:rsidRDefault="0030523C" w:rsidP="00996DC5">
            <w:r>
              <w:t>Departamento de Archivo Central</w:t>
            </w:r>
          </w:p>
          <w:p w:rsidR="0030523C" w:rsidRDefault="0030523C" w:rsidP="00996DC5">
            <w:r>
              <w:t>Teléfono: 2521-9620</w:t>
            </w:r>
          </w:p>
          <w:p w:rsidR="00CD4D79" w:rsidRDefault="0030523C" w:rsidP="006A38EA">
            <w:pPr>
              <w:rPr>
                <w:b/>
                <w:sz w:val="24"/>
              </w:rPr>
            </w:pPr>
            <w:r>
              <w:t>e-mail:</w:t>
            </w:r>
            <w:r w:rsidR="006A38EA">
              <w:t xml:space="preserve">  jose.hernandez@rnpn.gob.sv</w:t>
            </w:r>
            <w:r w:rsidR="006A38EA" w:rsidRPr="006B38C2">
              <w:rPr>
                <w:b/>
                <w:sz w:val="24"/>
              </w:rPr>
              <w:t xml:space="preserve"> </w:t>
            </w:r>
          </w:p>
          <w:p w:rsidR="006A38EA" w:rsidRPr="006B38C2" w:rsidRDefault="006A38EA" w:rsidP="006A38EA">
            <w:pPr>
              <w:rPr>
                <w:b/>
                <w:sz w:val="24"/>
              </w:rPr>
            </w:pPr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A38EA">
            <w:pPr>
              <w:jc w:val="center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</w:t>
            </w:r>
            <w:r w:rsidR="006A38EA">
              <w:rPr>
                <w:b/>
                <w:sz w:val="24"/>
              </w:rPr>
              <w:t xml:space="preserve"> </w:t>
            </w:r>
            <w:r w:rsidRPr="005C2317">
              <w:rPr>
                <w:b/>
                <w:sz w:val="24"/>
              </w:rPr>
              <w:t xml:space="preserve">PERSONAS DE </w:t>
            </w:r>
            <w:r w:rsidR="006A38EA">
              <w:rPr>
                <w:b/>
                <w:sz w:val="24"/>
              </w:rPr>
              <w:t xml:space="preserve">   </w:t>
            </w:r>
            <w:r w:rsidRPr="005C2317">
              <w:rPr>
                <w:b/>
                <w:sz w:val="24"/>
              </w:rPr>
              <w:t>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  <w:p w:rsidR="005706D2" w:rsidRPr="005706D2" w:rsidRDefault="005706D2" w:rsidP="00851300">
            <w:pPr>
              <w:rPr>
                <w:b/>
                <w:color w:val="000000" w:themeColor="text1"/>
                <w:sz w:val="24"/>
              </w:rPr>
            </w:pPr>
            <w:r w:rsidRPr="005706D2">
              <w:rPr>
                <w:b/>
                <w:color w:val="000000" w:themeColor="text1"/>
                <w:sz w:val="24"/>
              </w:rPr>
              <w:lastRenderedPageBreak/>
              <w:t>Departamento de Archivo Central</w:t>
            </w:r>
          </w:p>
          <w:p w:rsidR="005706D2" w:rsidRPr="00CD4D79" w:rsidRDefault="005706D2" w:rsidP="00851300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0F3098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</w:t>
            </w:r>
            <w:r w:rsidR="006A38EA">
              <w:rPr>
                <w:sz w:val="24"/>
              </w:rPr>
              <w:t xml:space="preserve"> el Edificio </w:t>
            </w:r>
            <w:proofErr w:type="spellStart"/>
            <w:r w:rsidR="006A38EA">
              <w:rPr>
                <w:sz w:val="24"/>
              </w:rPr>
              <w:t>Carbonell</w:t>
            </w:r>
            <w:proofErr w:type="spellEnd"/>
            <w:r w:rsidR="006A38EA">
              <w:rPr>
                <w:sz w:val="24"/>
              </w:rPr>
              <w:t xml:space="preserve"> 1 y 2,</w:t>
            </w:r>
            <w:r w:rsidRPr="00DD6D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situad</w:t>
            </w:r>
            <w:r w:rsidR="006A38EA">
              <w:rPr>
                <w:sz w:val="24"/>
              </w:rPr>
              <w:t>o</w:t>
            </w:r>
            <w:r>
              <w:rPr>
                <w:sz w:val="24"/>
              </w:rPr>
              <w:t xml:space="preserve"> en la</w:t>
            </w:r>
            <w:r w:rsidR="006A38EA">
              <w:rPr>
                <w:sz w:val="24"/>
              </w:rPr>
              <w:t xml:space="preserve"> Alameda Manuel Enrique Araujo y pasaje </w:t>
            </w:r>
            <w:proofErr w:type="spellStart"/>
            <w:r w:rsidR="006A38EA">
              <w:rPr>
                <w:sz w:val="24"/>
              </w:rPr>
              <w:t>Carbonell</w:t>
            </w:r>
            <w:proofErr w:type="spellEnd"/>
            <w:r w:rsidR="006A38EA">
              <w:rPr>
                <w:sz w:val="24"/>
              </w:rPr>
              <w:t>,</w:t>
            </w:r>
            <w:r w:rsidRPr="00DD6D95">
              <w:rPr>
                <w:sz w:val="24"/>
              </w:rPr>
              <w:t xml:space="preserve"> San Salvador.</w:t>
            </w:r>
            <w:r>
              <w:rPr>
                <w:sz w:val="24"/>
              </w:rPr>
              <w:t xml:space="preserve"> En </w:t>
            </w:r>
            <w:r w:rsidR="006A38EA">
              <w:rPr>
                <w:sz w:val="24"/>
              </w:rPr>
              <w:t>una</w:t>
            </w:r>
            <w:r w:rsidR="000F3098">
              <w:rPr>
                <w:sz w:val="24"/>
              </w:rPr>
              <w:t xml:space="preserve"> zona de fácil acceso</w:t>
            </w:r>
            <w:r>
              <w:rPr>
                <w:sz w:val="24"/>
              </w:rPr>
              <w:t xml:space="preserve"> </w:t>
            </w:r>
            <w:r w:rsidR="000F3098">
              <w:rPr>
                <w:sz w:val="24"/>
              </w:rPr>
              <w:t>para los ciudadanos, y en ella convergen</w:t>
            </w:r>
            <w:r>
              <w:rPr>
                <w:sz w:val="24"/>
              </w:rPr>
              <w:t xml:space="preserve"> el </w:t>
            </w:r>
            <w:r w:rsidR="000F3098">
              <w:rPr>
                <w:sz w:val="24"/>
              </w:rPr>
              <w:t xml:space="preserve">Circulo Deportivo, supermercado </w:t>
            </w:r>
            <w:r w:rsidR="00007C7A">
              <w:rPr>
                <w:sz w:val="24"/>
              </w:rPr>
              <w:t>Wal-Mart</w:t>
            </w:r>
            <w:r w:rsidR="000F3098">
              <w:rPr>
                <w:sz w:val="24"/>
              </w:rPr>
              <w:t>, calle Roma y se encuentra a pocas cuadras de la Plaza Salvador del Mundo.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Mantener en forma permanente y actualizada, toda la información </w:t>
            </w:r>
            <w:r>
              <w:rPr>
                <w:sz w:val="24"/>
              </w:rPr>
              <w:lastRenderedPageBreak/>
              <w:t>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493D47" w:rsidP="00493D47">
            <w:pPr>
              <w:rPr>
                <w:sz w:val="24"/>
              </w:rPr>
            </w:pP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  <w:r w:rsidR="00091D86">
              <w:rPr>
                <w:sz w:val="24"/>
              </w:rPr>
              <w:t xml:space="preserve"> </w:t>
            </w:r>
          </w:p>
          <w:p w:rsidR="00091D86" w:rsidRDefault="00091D86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Gestión Documental y Archivos del RNPN, se realiza conforme al art. 43 de la LAIP y Lineamiento 1, art.2 del IAIP.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tc>
          <w:tcPr>
            <w:tcW w:w="7085" w:type="dxa"/>
          </w:tcPr>
          <w:p w:rsidR="00C57F69" w:rsidRDefault="007812E5" w:rsidP="00B60C91">
            <w:pPr>
              <w:ind w:right="-93" w:hanging="115"/>
              <w:jc w:val="both"/>
              <w:rPr>
                <w:sz w:val="24"/>
              </w:rPr>
            </w:pPr>
            <w:bookmarkStart w:id="0" w:name="_MON_1656761096"/>
            <w:bookmarkEnd w:id="0"/>
            <w:r>
              <w:rPr>
                <w:noProof/>
                <w:sz w:val="24"/>
                <w:lang w:val="es-SV" w:eastAsia="es-SV"/>
              </w:rPr>
              <w:drawing>
                <wp:inline distT="0" distB="0" distL="0" distR="0">
                  <wp:extent cx="4867275" cy="3465623"/>
                  <wp:effectExtent l="19050" t="0" r="9525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107" cy="3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 xml:space="preserve">los cuales </w:t>
            </w:r>
            <w:r w:rsidR="00EB188D">
              <w:rPr>
                <w:sz w:val="24"/>
              </w:rPr>
              <w:t>h</w:t>
            </w:r>
            <w:r w:rsidR="0076645D">
              <w:rPr>
                <w:sz w:val="24"/>
              </w:rPr>
              <w:t>a</w:t>
            </w:r>
            <w:r w:rsidR="00EB188D">
              <w:rPr>
                <w:sz w:val="24"/>
              </w:rPr>
              <w:t>n</w:t>
            </w:r>
            <w:r w:rsidR="0076645D">
              <w:rPr>
                <w:sz w:val="24"/>
              </w:rPr>
              <w:t xml:space="preserve"> pasado de fase activa a </w:t>
            </w:r>
            <w:proofErr w:type="spellStart"/>
            <w:r w:rsidR="0076645D">
              <w:rPr>
                <w:sz w:val="24"/>
              </w:rPr>
              <w:t>semi</w:t>
            </w:r>
            <w:proofErr w:type="spellEnd"/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EB188D">
              <w:rPr>
                <w:sz w:val="24"/>
              </w:rPr>
              <w:t>so</w:t>
            </w:r>
            <w:r w:rsidR="00D03BE1">
              <w:rPr>
                <w:sz w:val="24"/>
              </w:rPr>
              <w:t>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EB188D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 xml:space="preserve">, </w:t>
            </w:r>
            <w:r w:rsidR="00007C7A">
              <w:rPr>
                <w:sz w:val="24"/>
              </w:rPr>
              <w:t>están</w:t>
            </w:r>
            <w:r>
              <w:rPr>
                <w:sz w:val="24"/>
              </w:rPr>
              <w:t xml:space="preserve"> bajo la responsabilidad y manejo directo de cada departamento y/o unidad administrativa del RNPN. En él se resguarda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7215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</w:t>
            </w:r>
            <w:r w:rsidR="00151BCB">
              <w:rPr>
                <w:sz w:val="24"/>
              </w:rPr>
              <w:t xml:space="preserve">la primera planta del edificio </w:t>
            </w:r>
            <w:proofErr w:type="spellStart"/>
            <w:r w:rsidR="00151BCB">
              <w:rPr>
                <w:sz w:val="24"/>
              </w:rPr>
              <w:t>Carbonell</w:t>
            </w:r>
            <w:proofErr w:type="spellEnd"/>
            <w:r w:rsidR="00151BCB">
              <w:rPr>
                <w:sz w:val="24"/>
              </w:rPr>
              <w:t xml:space="preserve"> 2 ubicado sobre la alameda Manuel Enrique Araujo y pasaje </w:t>
            </w:r>
            <w:proofErr w:type="spellStart"/>
            <w:r w:rsidR="00151BCB">
              <w:rPr>
                <w:sz w:val="24"/>
              </w:rPr>
              <w:t>Carbone</w:t>
            </w:r>
            <w:r w:rsidR="00721538">
              <w:rPr>
                <w:sz w:val="24"/>
              </w:rPr>
              <w:t>l</w:t>
            </w:r>
            <w:r w:rsidR="00151BCB">
              <w:rPr>
                <w:sz w:val="24"/>
              </w:rPr>
              <w:t>l</w:t>
            </w:r>
            <w:proofErr w:type="spellEnd"/>
            <w:r w:rsidR="00DD6D95" w:rsidRPr="00DD6D95">
              <w:rPr>
                <w:sz w:val="24"/>
              </w:rPr>
              <w:t>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</w:t>
            </w:r>
            <w:r w:rsidR="00803D76">
              <w:rPr>
                <w:sz w:val="24"/>
              </w:rPr>
              <w:t>Círculo</w:t>
            </w:r>
            <w:r w:rsidR="00721538">
              <w:rPr>
                <w:sz w:val="24"/>
              </w:rPr>
              <w:t xml:space="preserve"> Deportivo Internacional</w:t>
            </w:r>
            <w:r w:rsidR="00072657">
              <w:rPr>
                <w:sz w:val="24"/>
              </w:rPr>
              <w:t>,</w:t>
            </w:r>
            <w:r w:rsidR="00721538">
              <w:rPr>
                <w:sz w:val="24"/>
              </w:rPr>
              <w:t xml:space="preserve"> el supermercado </w:t>
            </w:r>
            <w:r w:rsidR="00007C7A">
              <w:rPr>
                <w:sz w:val="24"/>
              </w:rPr>
              <w:t>Wal-Mart</w:t>
            </w:r>
            <w:r w:rsidR="00721538">
              <w:rPr>
                <w:sz w:val="24"/>
              </w:rPr>
              <w:t>, la plaza del Salvador del Mundo, al sur la calle Roma.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</w:t>
            </w:r>
            <w:r w:rsidR="00121A85">
              <w:rPr>
                <w:sz w:val="24"/>
              </w:rPr>
              <w:t xml:space="preserve">, Dirección </w:t>
            </w:r>
            <w:r w:rsidRPr="00262AEF">
              <w:rPr>
                <w:sz w:val="24"/>
              </w:rPr>
              <w:t xml:space="preserve">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2A90">
              <w:rPr>
                <w:sz w:val="24"/>
              </w:rPr>
              <w:t>Guía de Archivo del Registro Nacional de las Personas Naturales;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2D77"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 w:rsidR="00FB2D77">
              <w:rPr>
                <w:sz w:val="24"/>
              </w:rPr>
              <w:t xml:space="preserve"> proceso de actualización) </w:t>
            </w:r>
            <w:r>
              <w:rPr>
                <w:sz w:val="24"/>
              </w:rPr>
              <w:t xml:space="preserve">- - -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6AE1">
              <w:rPr>
                <w:sz w:val="24"/>
              </w:rPr>
              <w:t>Normativa para el funcionamiento del CISED.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Criterios para la Valoración, Selección y Eliminación 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 xml:space="preserve">Procedimiento para realizar la Valoración, Selección y Eliminación </w:t>
            </w:r>
            <w:r>
              <w:rPr>
                <w:sz w:val="24"/>
              </w:rPr>
              <w:t xml:space="preserve">  </w:t>
            </w:r>
            <w:r w:rsidR="00022A59">
              <w:rPr>
                <w:sz w:val="24"/>
              </w:rPr>
              <w:t>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Procedimiento para Eliminación Documental.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18F5"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 w:rsidR="00FB18F5">
              <w:rPr>
                <w:sz w:val="24"/>
              </w:rPr>
              <w:t>, correspondientes a la Unidad de Supervisión y Control.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Guía para las Transferencias Documentales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Procedimiento para las Transferencias documentales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Políticas para el funcionamiento del departamento de Archivo Central;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Procedimiento para el Préstamo y Consulta de Documentos en custodia en el Archivo Central;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40EEE">
              <w:rPr>
                <w:sz w:val="24"/>
              </w:rPr>
              <w:t xml:space="preserve">  Manual para el funcionamiento de los Archivos de Gestión</w:t>
            </w:r>
          </w:p>
          <w:p w:rsidR="003F19DA" w:rsidRDefault="00740EEE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F19DA">
              <w:rPr>
                <w:sz w:val="24"/>
              </w:rPr>
              <w:t>Guía para la preservación y conservación documental y archivos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19DA">
              <w:rPr>
                <w:sz w:val="24"/>
              </w:rPr>
              <w:t>- Guía para la redacción y uso del formato único del memorando institucional.</w:t>
            </w:r>
          </w:p>
          <w:p w:rsidR="00246536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Catalogo Institucional de Series documentales</w:t>
            </w:r>
            <w:r w:rsidR="00022A59">
              <w:rPr>
                <w:sz w:val="24"/>
              </w:rPr>
              <w:t>.</w:t>
            </w:r>
          </w:p>
          <w:p w:rsidR="003F19DA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Repertorio institucional de funciones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 xml:space="preserve">Vacaciones de Fiestas </w:t>
            </w:r>
            <w:proofErr w:type="spellStart"/>
            <w:r w:rsidRPr="00A6066A">
              <w:rPr>
                <w:sz w:val="24"/>
              </w:rPr>
              <w:t>Agostinas</w:t>
            </w:r>
            <w:proofErr w:type="spellEnd"/>
            <w:r w:rsidRPr="00A6066A">
              <w:rPr>
                <w:sz w:val="24"/>
              </w:rPr>
              <w:t>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lastRenderedPageBreak/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 xml:space="preserve">La Oficina de Información y Respuesta (OIR), se ubica en la </w:t>
            </w:r>
            <w:r w:rsidR="00721538">
              <w:rPr>
                <w:sz w:val="24"/>
              </w:rPr>
              <w:t>segunda</w:t>
            </w:r>
            <w:r>
              <w:rPr>
                <w:sz w:val="24"/>
              </w:rPr>
              <w:t xml:space="preserve"> planta del</w:t>
            </w:r>
            <w:r w:rsidR="00721538">
              <w:rPr>
                <w:sz w:val="24"/>
              </w:rPr>
              <w:t xml:space="preserve"> edificio </w:t>
            </w:r>
            <w:proofErr w:type="spellStart"/>
            <w:r w:rsidR="00721538">
              <w:rPr>
                <w:sz w:val="24"/>
              </w:rPr>
              <w:t>Carbonell</w:t>
            </w:r>
            <w:proofErr w:type="spellEnd"/>
            <w:r w:rsidR="00721538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721538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El complejo de edificios </w:t>
            </w:r>
            <w:proofErr w:type="spellStart"/>
            <w:r>
              <w:rPr>
                <w:sz w:val="24"/>
              </w:rPr>
              <w:t>Carbonell</w:t>
            </w:r>
            <w:proofErr w:type="spellEnd"/>
            <w:r>
              <w:rPr>
                <w:sz w:val="24"/>
              </w:rPr>
              <w:t xml:space="preserve"> 1 y 2</w:t>
            </w:r>
            <w:r w:rsidR="004568AE">
              <w:rPr>
                <w:sz w:val="24"/>
              </w:rPr>
              <w:t xml:space="preserve"> se encuentra </w:t>
            </w:r>
            <w:r>
              <w:rPr>
                <w:sz w:val="24"/>
              </w:rPr>
              <w:t xml:space="preserve">sobre la alameda Manuel Enrique Araujo y pasaje </w:t>
            </w:r>
            <w:proofErr w:type="spellStart"/>
            <w:r>
              <w:rPr>
                <w:sz w:val="24"/>
              </w:rPr>
              <w:t>Carbonell</w:t>
            </w:r>
            <w:proofErr w:type="spellEnd"/>
            <w:r w:rsidR="004568AE" w:rsidRPr="00DD6D95">
              <w:rPr>
                <w:sz w:val="24"/>
              </w:rPr>
              <w:t>, San Salvador.</w:t>
            </w:r>
            <w:r w:rsidR="004568AE">
              <w:rPr>
                <w:sz w:val="24"/>
              </w:rPr>
              <w:t xml:space="preserve"> En la zona convergen el </w:t>
            </w:r>
            <w:r>
              <w:rPr>
                <w:sz w:val="24"/>
              </w:rPr>
              <w:t>Circulo Deportivo Internacional</w:t>
            </w:r>
            <w:r w:rsidR="004568AE">
              <w:rPr>
                <w:sz w:val="24"/>
              </w:rPr>
              <w:t xml:space="preserve">, el </w:t>
            </w:r>
            <w:r>
              <w:rPr>
                <w:sz w:val="24"/>
              </w:rPr>
              <w:t xml:space="preserve">supermercado </w:t>
            </w:r>
            <w:r w:rsidR="00007C7A">
              <w:rPr>
                <w:sz w:val="24"/>
              </w:rPr>
              <w:t>Wal-Mart</w:t>
            </w:r>
            <w:r w:rsidR="004568AE">
              <w:rPr>
                <w:sz w:val="24"/>
              </w:rPr>
              <w:t>,</w:t>
            </w:r>
            <w:r w:rsidR="000F26E2">
              <w:rPr>
                <w:sz w:val="24"/>
              </w:rPr>
              <w:t xml:space="preserve">  ferretería </w:t>
            </w:r>
            <w:proofErr w:type="spellStart"/>
            <w:r w:rsidR="000F26E2">
              <w:rPr>
                <w:sz w:val="24"/>
              </w:rPr>
              <w:t>Sagarra</w:t>
            </w:r>
            <w:proofErr w:type="spellEnd"/>
            <w:r w:rsidR="000F26E2">
              <w:rPr>
                <w:sz w:val="24"/>
              </w:rPr>
              <w:t>, a pocas cuadras se encuentra la plaza Salvador del Mundo</w:t>
            </w:r>
            <w:r w:rsidR="004568AE">
              <w:rPr>
                <w:sz w:val="24"/>
              </w:rPr>
              <w:t>,</w:t>
            </w:r>
            <w:r w:rsidR="000F26E2">
              <w:rPr>
                <w:sz w:val="24"/>
              </w:rPr>
              <w:t xml:space="preserve"> al sur se encuentra la calle Roma.</w:t>
            </w:r>
            <w:r w:rsidR="004568AE">
              <w:rPr>
                <w:sz w:val="24"/>
              </w:rPr>
              <w:t>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lastRenderedPageBreak/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4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343E00" w:rsidP="00162D7D">
            <w:pPr>
              <w:rPr>
                <w:sz w:val="24"/>
              </w:rPr>
            </w:pPr>
            <w:r>
              <w:rPr>
                <w:sz w:val="24"/>
              </w:rPr>
              <w:t>Sobre la entrada principal del edificio 2</w:t>
            </w:r>
            <w:r w:rsidR="00162D7D">
              <w:rPr>
                <w:sz w:val="24"/>
              </w:rPr>
              <w:t xml:space="preserve"> se encuentra una </w:t>
            </w:r>
            <w:r>
              <w:rPr>
                <w:sz w:val="24"/>
              </w:rPr>
              <w:t>área</w:t>
            </w:r>
            <w:r w:rsidR="00162D7D">
              <w:rPr>
                <w:sz w:val="24"/>
              </w:rPr>
              <w:t xml:space="preserve"> de espera para el público dotado de sil</w:t>
            </w:r>
            <w:r>
              <w:rPr>
                <w:sz w:val="24"/>
              </w:rPr>
              <w:t>las; asimismo, hay un área de estacionamiento para vehículos de ciudadanos que realicen tramites en las oficinas del RNPN</w:t>
            </w:r>
            <w:proofErr w:type="gramStart"/>
            <w:r>
              <w:rPr>
                <w:sz w:val="24"/>
              </w:rPr>
              <w:t>.</w:t>
            </w:r>
            <w:r w:rsidR="005D0297">
              <w:rPr>
                <w:sz w:val="24"/>
              </w:rPr>
              <w:t>.</w:t>
            </w:r>
            <w:proofErr w:type="gramEnd"/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5572EE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E94FEF">
              <w:rPr>
                <w:sz w:val="24"/>
              </w:rPr>
              <w:t>1</w:t>
            </w:r>
            <w:r w:rsidR="005572EE">
              <w:rPr>
                <w:sz w:val="24"/>
              </w:rPr>
              <w:t>7</w:t>
            </w:r>
            <w:r w:rsidR="00E94FEF">
              <w:rPr>
                <w:sz w:val="24"/>
              </w:rPr>
              <w:t xml:space="preserve">ª 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5572EE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E94FEF">
              <w:rPr>
                <w:sz w:val="24"/>
              </w:rPr>
              <w:t>1</w:t>
            </w:r>
            <w:r w:rsidR="005572EE">
              <w:rPr>
                <w:sz w:val="24"/>
              </w:rPr>
              <w:t>7</w:t>
            </w:r>
            <w:r w:rsidR="00E94FEF">
              <w:rPr>
                <w:sz w:val="24"/>
              </w:rPr>
              <w:t xml:space="preserve">ª </w:t>
            </w:r>
            <w:r>
              <w:rPr>
                <w:sz w:val="24"/>
              </w:rPr>
              <w:t>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  <w:p w:rsidR="00F537CB" w:rsidRDefault="00F537CB" w:rsidP="00663604">
            <w:pPr>
              <w:rPr>
                <w:sz w:val="24"/>
              </w:rPr>
            </w:pPr>
            <w:r>
              <w:rPr>
                <w:sz w:val="24"/>
              </w:rPr>
              <w:t>12ª Revisión    Abril 2021</w:t>
            </w:r>
          </w:p>
          <w:p w:rsidR="00AA4535" w:rsidRDefault="00AA4535" w:rsidP="00663604">
            <w:pPr>
              <w:rPr>
                <w:sz w:val="24"/>
              </w:rPr>
            </w:pPr>
            <w:r>
              <w:rPr>
                <w:sz w:val="24"/>
              </w:rPr>
              <w:t>13ª Revisión    Julio 2021</w:t>
            </w:r>
          </w:p>
          <w:p w:rsidR="00E94FEF" w:rsidRDefault="00E94FEF" w:rsidP="00663604">
            <w:pPr>
              <w:rPr>
                <w:sz w:val="24"/>
              </w:rPr>
            </w:pPr>
            <w:r>
              <w:rPr>
                <w:sz w:val="24"/>
              </w:rPr>
              <w:t>14ª Revisión    Octubre 2021</w:t>
            </w:r>
          </w:p>
          <w:p w:rsidR="003F0283" w:rsidRDefault="003F0283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15ª Revisión    </w:t>
            </w:r>
            <w:r w:rsidR="005572EE">
              <w:rPr>
                <w:sz w:val="24"/>
              </w:rPr>
              <w:t xml:space="preserve"> </w:t>
            </w:r>
            <w:r>
              <w:rPr>
                <w:sz w:val="24"/>
              </w:rPr>
              <w:t>Enero 2022</w:t>
            </w:r>
          </w:p>
          <w:p w:rsidR="00DB5CC5" w:rsidRDefault="00DB5CC5" w:rsidP="00663604">
            <w:pPr>
              <w:rPr>
                <w:sz w:val="24"/>
              </w:rPr>
            </w:pPr>
            <w:r>
              <w:rPr>
                <w:sz w:val="24"/>
              </w:rPr>
              <w:t>16ª Revisión      Abril 2022</w:t>
            </w:r>
          </w:p>
          <w:p w:rsidR="005572EE" w:rsidRDefault="005572EE" w:rsidP="00663604">
            <w:pPr>
              <w:rPr>
                <w:sz w:val="24"/>
              </w:rPr>
            </w:pPr>
            <w:r>
              <w:rPr>
                <w:sz w:val="24"/>
              </w:rPr>
              <w:t>17ª Revisión      Julio 2022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5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  <w:r>
              <w:rPr>
                <w:sz w:val="24"/>
              </w:rPr>
              <w:t>12ª actualización</w:t>
            </w: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  <w:r>
              <w:rPr>
                <w:sz w:val="24"/>
              </w:rPr>
              <w:t>13ª actualización</w:t>
            </w: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  <w:r>
              <w:rPr>
                <w:sz w:val="24"/>
              </w:rPr>
              <w:t>14ª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  <w:r>
              <w:rPr>
                <w:sz w:val="24"/>
              </w:rPr>
              <w:t>15ª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</w:p>
          <w:p w:rsidR="00550372" w:rsidRDefault="00550372" w:rsidP="00162D7D">
            <w:pPr>
              <w:rPr>
                <w:sz w:val="24"/>
              </w:rPr>
            </w:pPr>
            <w:r>
              <w:rPr>
                <w:sz w:val="24"/>
              </w:rPr>
              <w:t>16ª actualización</w:t>
            </w: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</w:p>
          <w:p w:rsidR="005572EE" w:rsidRDefault="005572EE" w:rsidP="00162D7D">
            <w:pPr>
              <w:rPr>
                <w:sz w:val="24"/>
              </w:rPr>
            </w:pPr>
            <w:r>
              <w:rPr>
                <w:sz w:val="24"/>
              </w:rPr>
              <w:t>17ª actualización</w:t>
            </w: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2B2070" w:rsidRDefault="002B2070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FA0396" w:rsidRDefault="00FA0396" w:rsidP="0009571F">
            <w:pPr>
              <w:rPr>
                <w:sz w:val="24"/>
              </w:rPr>
            </w:pP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94FEF">
            <w:pPr>
              <w:rPr>
                <w:sz w:val="24"/>
              </w:rPr>
            </w:pP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16862">
            <w:pPr>
              <w:rPr>
                <w:sz w:val="24"/>
              </w:rPr>
            </w:pP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550372" w:rsidRDefault="00550372" w:rsidP="00550372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5572EE" w:rsidRDefault="005572EE" w:rsidP="005572EE">
            <w:pPr>
              <w:rPr>
                <w:sz w:val="24"/>
              </w:rPr>
            </w:pPr>
          </w:p>
          <w:p w:rsidR="005572EE" w:rsidRDefault="005572EE" w:rsidP="005572EE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5572EE" w:rsidRDefault="005572EE" w:rsidP="005572EE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5572EE" w:rsidRDefault="005572EE" w:rsidP="005572EE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5572EE" w:rsidRDefault="005572EE" w:rsidP="005572EE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5572EE" w:rsidRDefault="005572EE" w:rsidP="005572EE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5FA0" w:rsidRPr="0078463F" w:rsidRDefault="00845FA0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E778BD">
      <w:headerReference w:type="default" r:id="rId16"/>
      <w:footerReference w:type="default" r:id="rId17"/>
      <w:pgSz w:w="12240" w:h="15840" w:code="1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9" w:rsidRDefault="00493D99" w:rsidP="007B3C61">
      <w:pPr>
        <w:spacing w:after="0" w:line="240" w:lineRule="auto"/>
      </w:pPr>
      <w:r>
        <w:separator/>
      </w:r>
    </w:p>
  </w:endnote>
  <w:endnote w:type="continuationSeparator" w:id="0">
    <w:p w:rsidR="00493D99" w:rsidRDefault="00493D99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A38EA" w:rsidRDefault="006A38EA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C35E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5E01">
              <w:rPr>
                <w:b/>
                <w:sz w:val="24"/>
                <w:szCs w:val="24"/>
              </w:rPr>
              <w:fldChar w:fldCharType="separate"/>
            </w:r>
            <w:r w:rsidR="00166C98">
              <w:rPr>
                <w:b/>
                <w:noProof/>
              </w:rPr>
              <w:t>2</w:t>
            </w:r>
            <w:r w:rsidR="00C35E0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35E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5E01">
              <w:rPr>
                <w:b/>
                <w:sz w:val="24"/>
                <w:szCs w:val="24"/>
              </w:rPr>
              <w:fldChar w:fldCharType="separate"/>
            </w:r>
            <w:r w:rsidR="00166C98">
              <w:rPr>
                <w:b/>
                <w:noProof/>
              </w:rPr>
              <w:t>12</w:t>
            </w:r>
            <w:r w:rsidR="00C35E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38EA" w:rsidRPr="007B3C61" w:rsidRDefault="006A38EA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9" w:rsidRDefault="00493D99" w:rsidP="007B3C61">
      <w:pPr>
        <w:spacing w:after="0" w:line="240" w:lineRule="auto"/>
      </w:pPr>
      <w:r>
        <w:separator/>
      </w:r>
    </w:p>
  </w:footnote>
  <w:footnote w:type="continuationSeparator" w:id="0">
    <w:p w:rsidR="00493D99" w:rsidRDefault="00493D99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EA" w:rsidRPr="007B3C61" w:rsidRDefault="006A38EA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B3C61"/>
    <w:rsid w:val="00007C7A"/>
    <w:rsid w:val="00017B4E"/>
    <w:rsid w:val="00022A59"/>
    <w:rsid w:val="0002557A"/>
    <w:rsid w:val="00025A28"/>
    <w:rsid w:val="00031C80"/>
    <w:rsid w:val="000344B5"/>
    <w:rsid w:val="0004410F"/>
    <w:rsid w:val="00046AE1"/>
    <w:rsid w:val="000579CF"/>
    <w:rsid w:val="0006010D"/>
    <w:rsid w:val="00063CE8"/>
    <w:rsid w:val="00072657"/>
    <w:rsid w:val="000816B1"/>
    <w:rsid w:val="00082A84"/>
    <w:rsid w:val="00086285"/>
    <w:rsid w:val="00091D86"/>
    <w:rsid w:val="00093192"/>
    <w:rsid w:val="0009571F"/>
    <w:rsid w:val="000A6B25"/>
    <w:rsid w:val="000B35D6"/>
    <w:rsid w:val="000B69FD"/>
    <w:rsid w:val="000D4869"/>
    <w:rsid w:val="000D5A59"/>
    <w:rsid w:val="000F26E2"/>
    <w:rsid w:val="000F3098"/>
    <w:rsid w:val="000F57B5"/>
    <w:rsid w:val="00110C38"/>
    <w:rsid w:val="00117B51"/>
    <w:rsid w:val="00121A85"/>
    <w:rsid w:val="00136D50"/>
    <w:rsid w:val="00136FEC"/>
    <w:rsid w:val="0014663F"/>
    <w:rsid w:val="00151BCB"/>
    <w:rsid w:val="001542E9"/>
    <w:rsid w:val="0016110F"/>
    <w:rsid w:val="00162D7D"/>
    <w:rsid w:val="00166C98"/>
    <w:rsid w:val="00171844"/>
    <w:rsid w:val="00171F49"/>
    <w:rsid w:val="00173633"/>
    <w:rsid w:val="00196639"/>
    <w:rsid w:val="00197DEC"/>
    <w:rsid w:val="001C5F5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57009"/>
    <w:rsid w:val="00262AEF"/>
    <w:rsid w:val="002651D7"/>
    <w:rsid w:val="00281C60"/>
    <w:rsid w:val="0028200C"/>
    <w:rsid w:val="002847BF"/>
    <w:rsid w:val="002901D5"/>
    <w:rsid w:val="00295A2C"/>
    <w:rsid w:val="002A4EA4"/>
    <w:rsid w:val="002B2070"/>
    <w:rsid w:val="002B2574"/>
    <w:rsid w:val="002D4DB4"/>
    <w:rsid w:val="002E22B5"/>
    <w:rsid w:val="00302AA8"/>
    <w:rsid w:val="0030523C"/>
    <w:rsid w:val="003212DD"/>
    <w:rsid w:val="00343E00"/>
    <w:rsid w:val="00344690"/>
    <w:rsid w:val="00374564"/>
    <w:rsid w:val="003752B6"/>
    <w:rsid w:val="00383FC9"/>
    <w:rsid w:val="003A4F4F"/>
    <w:rsid w:val="003B1794"/>
    <w:rsid w:val="003C76D6"/>
    <w:rsid w:val="003D1B0B"/>
    <w:rsid w:val="003D36D3"/>
    <w:rsid w:val="003D37C0"/>
    <w:rsid w:val="003E0732"/>
    <w:rsid w:val="003E097C"/>
    <w:rsid w:val="003E6244"/>
    <w:rsid w:val="003E7EC4"/>
    <w:rsid w:val="003F0283"/>
    <w:rsid w:val="003F19DA"/>
    <w:rsid w:val="003F3116"/>
    <w:rsid w:val="00405273"/>
    <w:rsid w:val="00405901"/>
    <w:rsid w:val="00407F01"/>
    <w:rsid w:val="00416FE9"/>
    <w:rsid w:val="0042196E"/>
    <w:rsid w:val="00424C09"/>
    <w:rsid w:val="004454EA"/>
    <w:rsid w:val="004500EE"/>
    <w:rsid w:val="004568AE"/>
    <w:rsid w:val="004600F5"/>
    <w:rsid w:val="00462F72"/>
    <w:rsid w:val="004802BF"/>
    <w:rsid w:val="004818EC"/>
    <w:rsid w:val="00486FAF"/>
    <w:rsid w:val="00493D47"/>
    <w:rsid w:val="00493D99"/>
    <w:rsid w:val="004A501F"/>
    <w:rsid w:val="004A7EDA"/>
    <w:rsid w:val="004C7A2F"/>
    <w:rsid w:val="004D081E"/>
    <w:rsid w:val="004E466C"/>
    <w:rsid w:val="00520F2F"/>
    <w:rsid w:val="005412A5"/>
    <w:rsid w:val="00542B32"/>
    <w:rsid w:val="00542D6A"/>
    <w:rsid w:val="00550372"/>
    <w:rsid w:val="00550960"/>
    <w:rsid w:val="00556400"/>
    <w:rsid w:val="005569D6"/>
    <w:rsid w:val="005572EE"/>
    <w:rsid w:val="005706D2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1E84"/>
    <w:rsid w:val="00607669"/>
    <w:rsid w:val="00611A4C"/>
    <w:rsid w:val="00632DC1"/>
    <w:rsid w:val="006410ED"/>
    <w:rsid w:val="00661AA0"/>
    <w:rsid w:val="006622AE"/>
    <w:rsid w:val="00663604"/>
    <w:rsid w:val="00665A97"/>
    <w:rsid w:val="00693164"/>
    <w:rsid w:val="006A2F16"/>
    <w:rsid w:val="006A38EA"/>
    <w:rsid w:val="006A61AD"/>
    <w:rsid w:val="006B38C2"/>
    <w:rsid w:val="006C16C9"/>
    <w:rsid w:val="006D0240"/>
    <w:rsid w:val="006D47F6"/>
    <w:rsid w:val="006F3644"/>
    <w:rsid w:val="00702370"/>
    <w:rsid w:val="00707A84"/>
    <w:rsid w:val="007164CD"/>
    <w:rsid w:val="00721538"/>
    <w:rsid w:val="00721F99"/>
    <w:rsid w:val="007226F0"/>
    <w:rsid w:val="00723A73"/>
    <w:rsid w:val="00731663"/>
    <w:rsid w:val="00733C93"/>
    <w:rsid w:val="00736286"/>
    <w:rsid w:val="00740EEE"/>
    <w:rsid w:val="00754228"/>
    <w:rsid w:val="00755DE1"/>
    <w:rsid w:val="007569B6"/>
    <w:rsid w:val="00763A80"/>
    <w:rsid w:val="0076645D"/>
    <w:rsid w:val="007666D6"/>
    <w:rsid w:val="007671FD"/>
    <w:rsid w:val="0077762B"/>
    <w:rsid w:val="007812E5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03D76"/>
    <w:rsid w:val="00804185"/>
    <w:rsid w:val="00831C35"/>
    <w:rsid w:val="008359BF"/>
    <w:rsid w:val="00845FA0"/>
    <w:rsid w:val="00846569"/>
    <w:rsid w:val="00851300"/>
    <w:rsid w:val="0085203C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26685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B66D9"/>
    <w:rsid w:val="009C0A63"/>
    <w:rsid w:val="009C1A77"/>
    <w:rsid w:val="009C614D"/>
    <w:rsid w:val="009C7E09"/>
    <w:rsid w:val="009D0502"/>
    <w:rsid w:val="009E34E0"/>
    <w:rsid w:val="00A00DB3"/>
    <w:rsid w:val="00A05DC1"/>
    <w:rsid w:val="00A15920"/>
    <w:rsid w:val="00A23C47"/>
    <w:rsid w:val="00A31173"/>
    <w:rsid w:val="00A31D83"/>
    <w:rsid w:val="00A32371"/>
    <w:rsid w:val="00A37192"/>
    <w:rsid w:val="00A6066A"/>
    <w:rsid w:val="00A675B3"/>
    <w:rsid w:val="00A72858"/>
    <w:rsid w:val="00A94D95"/>
    <w:rsid w:val="00AA43EC"/>
    <w:rsid w:val="00AA453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63A7B"/>
    <w:rsid w:val="00B708F1"/>
    <w:rsid w:val="00B718E8"/>
    <w:rsid w:val="00B73B86"/>
    <w:rsid w:val="00B8160D"/>
    <w:rsid w:val="00B9331C"/>
    <w:rsid w:val="00B94A4D"/>
    <w:rsid w:val="00BD2591"/>
    <w:rsid w:val="00BD32E4"/>
    <w:rsid w:val="00BD33A2"/>
    <w:rsid w:val="00BE3DC2"/>
    <w:rsid w:val="00BF1696"/>
    <w:rsid w:val="00BF30B8"/>
    <w:rsid w:val="00C03131"/>
    <w:rsid w:val="00C07020"/>
    <w:rsid w:val="00C1320E"/>
    <w:rsid w:val="00C2537F"/>
    <w:rsid w:val="00C266C1"/>
    <w:rsid w:val="00C306FC"/>
    <w:rsid w:val="00C30A04"/>
    <w:rsid w:val="00C359DD"/>
    <w:rsid w:val="00C35E01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13C"/>
    <w:rsid w:val="00CC148C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B5CC5"/>
    <w:rsid w:val="00DD6D95"/>
    <w:rsid w:val="00DD7E32"/>
    <w:rsid w:val="00DF06D7"/>
    <w:rsid w:val="00E00C72"/>
    <w:rsid w:val="00E07415"/>
    <w:rsid w:val="00E16862"/>
    <w:rsid w:val="00E32A90"/>
    <w:rsid w:val="00E37937"/>
    <w:rsid w:val="00E41234"/>
    <w:rsid w:val="00E531C7"/>
    <w:rsid w:val="00E569DE"/>
    <w:rsid w:val="00E73B96"/>
    <w:rsid w:val="00E778BD"/>
    <w:rsid w:val="00E77FA7"/>
    <w:rsid w:val="00E92DEB"/>
    <w:rsid w:val="00E94B67"/>
    <w:rsid w:val="00E94FEF"/>
    <w:rsid w:val="00EA5C4D"/>
    <w:rsid w:val="00EB188D"/>
    <w:rsid w:val="00EB4FD3"/>
    <w:rsid w:val="00EC4669"/>
    <w:rsid w:val="00EE3D97"/>
    <w:rsid w:val="00EE58DD"/>
    <w:rsid w:val="00EF69DA"/>
    <w:rsid w:val="00F07DE3"/>
    <w:rsid w:val="00F2717B"/>
    <w:rsid w:val="00F33887"/>
    <w:rsid w:val="00F37EF3"/>
    <w:rsid w:val="00F402E0"/>
    <w:rsid w:val="00F40966"/>
    <w:rsid w:val="00F44932"/>
    <w:rsid w:val="00F537CB"/>
    <w:rsid w:val="00F56B38"/>
    <w:rsid w:val="00F70B46"/>
    <w:rsid w:val="00F77A43"/>
    <w:rsid w:val="00F966CE"/>
    <w:rsid w:val="00FA0396"/>
    <w:rsid w:val="00FA0BA7"/>
    <w:rsid w:val="00FA666C"/>
    <w:rsid w:val="00FB18F5"/>
    <w:rsid w:val="00FB2D77"/>
    <w:rsid w:val="00FC0999"/>
    <w:rsid w:val="00FC227C"/>
    <w:rsid w:val="00FC28D4"/>
    <w:rsid w:val="00FC6E1B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pn.gob.sv" TargetMode="External"/><Relationship Id="rId10" Type="http://schemas.openxmlformats.org/officeDocument/2006/relationships/hyperlink" Target="http://www.rnpn.gob.s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rnpn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E1BAA-B75A-46B9-822B-DBCCFB25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2872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julio 2022</dc:creator>
  <cp:lastModifiedBy>fromero</cp:lastModifiedBy>
  <cp:revision>2</cp:revision>
  <cp:lastPrinted>2019-08-26T17:26:00Z</cp:lastPrinted>
  <dcterms:created xsi:type="dcterms:W3CDTF">2022-08-12T20:43:00Z</dcterms:created>
  <dcterms:modified xsi:type="dcterms:W3CDTF">2022-08-12T20:43:00Z</dcterms:modified>
</cp:coreProperties>
</file>