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5C" w:rsidRPr="009675DE" w:rsidRDefault="009675DE" w:rsidP="009675DE">
      <w:pPr>
        <w:jc w:val="both"/>
        <w:rPr>
          <w:rFonts w:ascii="Museo Sans 300" w:hAnsi="Museo Sans 300"/>
        </w:rPr>
      </w:pPr>
      <w:r>
        <w:rPr>
          <w:rFonts w:ascii="Museo Sans 300" w:hAnsi="Museo Sans 300"/>
        </w:rPr>
        <w:t>Puesto: Superintendente del Sistema Financiero</w:t>
      </w:r>
    </w:p>
    <w:p w:rsidR="009675DE" w:rsidRPr="009675DE" w:rsidRDefault="009675DE" w:rsidP="009675DE">
      <w:pPr>
        <w:pStyle w:val="Default"/>
        <w:jc w:val="both"/>
        <w:rPr>
          <w:rFonts w:ascii="Museo Sans 300" w:hAnsi="Museo Sans 300"/>
          <w:color w:val="FFFFFF"/>
          <w:sz w:val="22"/>
          <w:szCs w:val="22"/>
        </w:rPr>
      </w:pPr>
      <w:r w:rsidRPr="009675DE">
        <w:rPr>
          <w:rFonts w:ascii="Museo Sans 300" w:hAnsi="Museo Sans 300"/>
          <w:b/>
          <w:bCs/>
          <w:color w:val="FFFFFF"/>
          <w:sz w:val="22"/>
          <w:szCs w:val="22"/>
        </w:rPr>
        <w:t xml:space="preserve">Superintendente del Sistema Financiero </w:t>
      </w:r>
    </w:p>
    <w:p w:rsidR="009675DE" w:rsidRPr="009675DE" w:rsidRDefault="009675DE" w:rsidP="009675DE">
      <w:pPr>
        <w:pStyle w:val="Default"/>
        <w:spacing w:after="181"/>
        <w:jc w:val="both"/>
        <w:rPr>
          <w:rFonts w:ascii="Museo Sans 300" w:hAnsi="Museo Sans 300"/>
          <w:sz w:val="22"/>
          <w:szCs w:val="22"/>
        </w:rPr>
      </w:pPr>
      <w:r>
        <w:rPr>
          <w:rFonts w:ascii="Museo Sans 300" w:hAnsi="Museo Sans 300"/>
          <w:b/>
          <w:bCs/>
          <w:sz w:val="22"/>
          <w:szCs w:val="22"/>
        </w:rPr>
        <w:t>1</w:t>
      </w:r>
      <w:r w:rsidRPr="009675DE">
        <w:rPr>
          <w:rFonts w:ascii="Museo Sans 300" w:hAnsi="Museo Sans 300"/>
          <w:b/>
          <w:bCs/>
          <w:sz w:val="22"/>
          <w:szCs w:val="22"/>
        </w:rPr>
        <w:t xml:space="preserve">. Objetivo: </w:t>
      </w:r>
      <w:r w:rsidRPr="009675DE">
        <w:rPr>
          <w:rFonts w:ascii="Museo Sans 300" w:hAnsi="Museo Sans 300"/>
          <w:sz w:val="22"/>
          <w:szCs w:val="22"/>
        </w:rPr>
        <w:t xml:space="preserve">Ejercer las competencias, atribuciones y facultades según lo indica la Ley de Supervisión y Regulación del Sistema Financiero. </w:t>
      </w:r>
    </w:p>
    <w:p w:rsidR="009675DE" w:rsidRPr="009675DE" w:rsidRDefault="009675DE" w:rsidP="009675DE">
      <w:pPr>
        <w:pStyle w:val="Default"/>
        <w:jc w:val="both"/>
        <w:rPr>
          <w:rFonts w:ascii="Museo Sans 300" w:hAnsi="Museo Sans 300"/>
          <w:sz w:val="22"/>
          <w:szCs w:val="22"/>
        </w:rPr>
      </w:pPr>
      <w:r>
        <w:rPr>
          <w:rFonts w:ascii="Museo Sans 300" w:hAnsi="Museo Sans 300"/>
          <w:b/>
          <w:bCs/>
          <w:sz w:val="22"/>
          <w:szCs w:val="22"/>
        </w:rPr>
        <w:t>2</w:t>
      </w:r>
      <w:r w:rsidRPr="009675DE">
        <w:rPr>
          <w:rFonts w:ascii="Museo Sans 300" w:hAnsi="Museo Sans 300"/>
          <w:b/>
          <w:bCs/>
          <w:sz w:val="22"/>
          <w:szCs w:val="22"/>
        </w:rPr>
        <w:t xml:space="preserve">. Funciones: </w:t>
      </w:r>
    </w:p>
    <w:p w:rsidR="009675DE" w:rsidRPr="009675DE" w:rsidRDefault="009675DE" w:rsidP="009675DE">
      <w:pPr>
        <w:pStyle w:val="Default"/>
        <w:jc w:val="both"/>
        <w:rPr>
          <w:rFonts w:ascii="Museo Sans 300" w:hAnsi="Museo Sans 300"/>
          <w:sz w:val="22"/>
          <w:szCs w:val="22"/>
        </w:rPr>
      </w:pPr>
    </w:p>
    <w:p w:rsidR="009675DE" w:rsidRDefault="009675DE" w:rsidP="009675DE">
      <w:pPr>
        <w:pStyle w:val="Default"/>
        <w:jc w:val="both"/>
        <w:rPr>
          <w:rFonts w:ascii="Museo Sans 300" w:hAnsi="Museo Sans 300"/>
          <w:sz w:val="22"/>
          <w:szCs w:val="22"/>
        </w:rPr>
      </w:pPr>
      <w:r w:rsidRPr="009675DE">
        <w:rPr>
          <w:rFonts w:ascii="Museo Sans 300" w:hAnsi="Museo Sans 300"/>
          <w:sz w:val="22"/>
          <w:szCs w:val="22"/>
        </w:rPr>
        <w:t>De acuerdo a la Ley de Supervisión y Regulación del Si</w:t>
      </w:r>
      <w:r>
        <w:rPr>
          <w:rFonts w:ascii="Museo Sans 300" w:hAnsi="Museo Sans 300"/>
          <w:sz w:val="22"/>
          <w:szCs w:val="22"/>
        </w:rPr>
        <w:t xml:space="preserve">stema Financiero, articulo 19: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a) Dirigir la Superintendencia.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b) Ejecutar los acuerdos y resoluciones del Consejo.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c) Emitir las resoluciones pertinentes para los supervisados, dentro de las facultades que le confieren las leyes.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d) Conocer las políticas internas de los integrantes del sistema financiero, en materia de gestión de riesgos, códigos de conducta y otro tipo de requisitos que les son exigidos, en particular, los referidos en los literales c) y d) del artículo 35 de esta Ley, pudiendo solicitar explicaciones y ampliaciones cuando lo considere pertinente, en atención a las mejores prácticas internacionales.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e) Efectuar la supervisión individual y consolidada de los integrantes del sistema financiero, así como la supervisión de los demás sujetos regulados por esta Ley.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f) Comunicar a los sujetos supervisados las irregularidades o infracciones que notare en sus operaciones.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g) Imponer las sanciones correspondientes de conformidad a las leyes.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h) Informar a la Fiscalía General de la República de cualquier hecho que presuntamente sea constitutivo de delito, sobre el cual tenga conocimiento en el ejercicio de sus funciones. </w:t>
      </w:r>
    </w:p>
    <w:p w:rsidR="009675DE" w:rsidRDefault="009675DE" w:rsidP="009675DE">
      <w:pPr>
        <w:pStyle w:val="Default"/>
        <w:jc w:val="both"/>
        <w:rPr>
          <w:rFonts w:ascii="Museo Sans 300" w:hAnsi="Museo Sans 300"/>
          <w:sz w:val="22"/>
          <w:szCs w:val="22"/>
        </w:rPr>
      </w:pPr>
      <w:r w:rsidRPr="009675DE">
        <w:rPr>
          <w:rFonts w:ascii="Museo Sans 300" w:hAnsi="Museo Sans 300"/>
          <w:sz w:val="22"/>
          <w:szCs w:val="22"/>
        </w:rPr>
        <w:t>i) Vigilar la liquidación de los integrantes del sistema financiero de conformidad a lo que las leyes específi</w:t>
      </w:r>
      <w:r>
        <w:rPr>
          <w:rFonts w:ascii="Museo Sans 300" w:hAnsi="Museo Sans 300"/>
          <w:sz w:val="22"/>
          <w:szCs w:val="22"/>
        </w:rPr>
        <w:t xml:space="preserve">cas determinen. </w:t>
      </w:r>
    </w:p>
    <w:p w:rsidR="009675DE" w:rsidRPr="009675DE" w:rsidRDefault="009675DE" w:rsidP="009675DE">
      <w:pPr>
        <w:pStyle w:val="Default"/>
        <w:jc w:val="both"/>
        <w:rPr>
          <w:rFonts w:ascii="Museo Sans 300" w:hAnsi="Museo Sans 300"/>
          <w:sz w:val="22"/>
          <w:szCs w:val="22"/>
        </w:rPr>
      </w:pPr>
    </w:p>
    <w:p w:rsidR="009675DE" w:rsidRPr="009675DE" w:rsidRDefault="009675DE" w:rsidP="009675DE">
      <w:pPr>
        <w:pStyle w:val="Default"/>
        <w:spacing w:after="181"/>
        <w:jc w:val="both"/>
        <w:rPr>
          <w:rFonts w:ascii="Museo Sans 300" w:hAnsi="Museo Sans 300"/>
          <w:sz w:val="22"/>
          <w:szCs w:val="22"/>
        </w:rPr>
      </w:pPr>
      <w:r>
        <w:rPr>
          <w:rFonts w:ascii="Museo Sans 300" w:hAnsi="Museo Sans 300"/>
          <w:sz w:val="22"/>
          <w:szCs w:val="22"/>
        </w:rPr>
        <w:t xml:space="preserve">j) </w:t>
      </w:r>
      <w:r w:rsidRPr="009675DE">
        <w:rPr>
          <w:rFonts w:ascii="Museo Sans 300" w:hAnsi="Museo Sans 300"/>
          <w:sz w:val="22"/>
          <w:szCs w:val="22"/>
        </w:rPr>
        <w:t xml:space="preserve">Ordenar la suspensión de cotizaciones de valores cuando en el mercado existan condiciones desordenadas o se efectúen operaciones no conformes a sanos usos o prácticas.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k) Ordenar la suspensión de la propaganda o la información publicitaria de las personas jurídicas que realicen oferta pública de valores y de las personas que realicen intermediación de éstos, cuando contengan características diferentes a la emisión de valores asentada por la Superintendencia, o cuando se compruebe que, de acuerdo con la ley, la propaganda o información publicitaria es engañosa o que contiene datos que no son verídicos, sin perjuicio de aplicar las sanciones correspondientes.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l) Supervisar las ofertas públicas de adquisición de valores inscritos en el Registro Público Bursátil y requerir a los oferentes la revelación de información que considere necesaria para que se practiquen con la debida información y transparencia, a efecto de velar por los intereses del público inversionista.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lastRenderedPageBreak/>
        <w:t xml:space="preserve">m) Supervisar el cumplimiento de las disposiciones aplicables y el funcionamiento del Sistema de Ahorro para Pensiones y del Sistema de Pensiones Público, particularmente del Instituto Salvadoreño del Seguro Social, en adelante denominado “ISSS”, del Instituto Nacional de Pensiones de los Empleados Públicos, en adelante referido como “INPEP”, del Instituto de Previsión Social de la Fuerza Armada y de las instituciones administradoras de fondos de pensiones; asimismo supervisará el régimen de riesgos profesionales del ISSS.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n) Supervisar las inversiones efectuadas con los recursos de los fondos de pensiones y la estructura de la cartera de inversiones.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o) Acceder en tiempo real a la información de las Instituciones administradoras de fondos de pensiones, referente a las operaciones efectuadas con recursos del fondo de pensiones.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p) Supervisar la constitución, mantenimiento, operación y aplicación de las garantías de rentabilidad mínima, reserva de fluctuación de rentabilidad, aporte especial de garantía, capital social y patrimonio establecido en la ley correspondiente para las Instituciones Administradoras de Fondos de Pensiones.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q) Establecer, de conformidad con la ley, las cláusulas de los contratos de afiliación y de traspaso entre las instituciones administradoras de fondos de pensiones y sus afiliados y determinar los requisitos mínimos de los contratos de seguros relacionados al Sistema de Ahorro para Pensiones, así como los mecanismos de licitación para contratarlos, supervisando su operación y cumplimiento. </w:t>
      </w:r>
    </w:p>
    <w:p w:rsidR="009675DE" w:rsidRDefault="009675DE" w:rsidP="009675DE">
      <w:pPr>
        <w:pStyle w:val="Default"/>
        <w:jc w:val="both"/>
        <w:rPr>
          <w:rFonts w:ascii="Museo Sans 300" w:hAnsi="Museo Sans 300"/>
          <w:sz w:val="22"/>
          <w:szCs w:val="22"/>
        </w:rPr>
      </w:pPr>
      <w:r w:rsidRPr="009675DE">
        <w:rPr>
          <w:rFonts w:ascii="Museo Sans 300" w:hAnsi="Museo Sans 300"/>
          <w:sz w:val="22"/>
          <w:szCs w:val="22"/>
        </w:rPr>
        <w:t>r) Efectuar estudios técnicos que favorezcan el desarrollo y el fortalecimiento del Sis</w:t>
      </w:r>
      <w:r>
        <w:rPr>
          <w:rFonts w:ascii="Museo Sans 300" w:hAnsi="Museo Sans 300"/>
          <w:sz w:val="22"/>
          <w:szCs w:val="22"/>
        </w:rPr>
        <w:t xml:space="preserve">tema de Ahorro para Pensiones. </w:t>
      </w:r>
    </w:p>
    <w:p w:rsidR="009675DE" w:rsidRPr="009675DE" w:rsidRDefault="009675DE" w:rsidP="009675DE">
      <w:pPr>
        <w:pStyle w:val="Default"/>
        <w:jc w:val="both"/>
        <w:rPr>
          <w:rFonts w:ascii="Museo Sans 300" w:hAnsi="Museo Sans 300"/>
          <w:sz w:val="22"/>
          <w:szCs w:val="22"/>
        </w:rPr>
      </w:pPr>
    </w:p>
    <w:p w:rsidR="009675DE" w:rsidRPr="009675DE" w:rsidRDefault="009675DE" w:rsidP="009675DE">
      <w:pPr>
        <w:pStyle w:val="Default"/>
        <w:spacing w:after="181"/>
        <w:jc w:val="both"/>
        <w:rPr>
          <w:rFonts w:ascii="Museo Sans 300" w:hAnsi="Museo Sans 300"/>
          <w:sz w:val="22"/>
          <w:szCs w:val="22"/>
        </w:rPr>
      </w:pPr>
      <w:r>
        <w:rPr>
          <w:rFonts w:ascii="Museo Sans 300" w:hAnsi="Museo Sans 300"/>
          <w:sz w:val="22"/>
          <w:szCs w:val="22"/>
        </w:rPr>
        <w:t xml:space="preserve">s) </w:t>
      </w:r>
      <w:r w:rsidRPr="009675DE">
        <w:rPr>
          <w:rFonts w:ascii="Museo Sans 300" w:hAnsi="Museo Sans 300"/>
          <w:sz w:val="22"/>
          <w:szCs w:val="22"/>
        </w:rPr>
        <w:t xml:space="preserve">Supervisar los procesos de gestión de recursos financieros por parte de las instituciones correspondientes del Sistema de Pensiones Público, definido así en la Ley del Sistema de Ahorro para Pensiones, ante la institución o entidad legalmente responsable.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t) Supervisar la adquisición y enajenación de aquellos bienes muebles e inmuebles del ISSS y del INPEP, en lo relativo al Sistema de Pensiones </w:t>
      </w:r>
      <w:proofErr w:type="gramStart"/>
      <w:r w:rsidRPr="009675DE">
        <w:rPr>
          <w:rFonts w:ascii="Museo Sans 300" w:hAnsi="Museo Sans 300"/>
          <w:sz w:val="22"/>
          <w:szCs w:val="22"/>
        </w:rPr>
        <w:t>Público</w:t>
      </w:r>
      <w:proofErr w:type="gramEnd"/>
      <w:r w:rsidRPr="009675DE">
        <w:rPr>
          <w:rFonts w:ascii="Museo Sans 300" w:hAnsi="Museo Sans 300"/>
          <w:sz w:val="22"/>
          <w:szCs w:val="22"/>
        </w:rPr>
        <w:t xml:space="preserve"> así como los del Instituto de Previsión Social de la Fuerza Armada.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u) Coordinar y supervisar los mecanismos de tratamiento a la cartera de préstamos personales e hipotecarios del INPEP, de acuerdo a lo establecido en la Ley del Sistema de Ahorro para Pensiones.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v) Presentar al Consejo informes sobre los resultados de la supervisión de los sujetos supervisados.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w) Auditar los procesos de administración y custodia de especies monetarias que realiza el Banco Central y certificar los estados financieros del referido banco.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t xml:space="preserve">x) Cooperar, coordinar e intercambiar información con otros organismos de supervisión que cumplan funciones de similar naturaleza en otras jurisdicciones, con el objeto de facilitar las actividades de supervisión individual y consolidada de los integrantes del sistema financiero, pudiendo al efecto celebrar convenios de cooperación e intercambio de información con dichos organismos. </w:t>
      </w:r>
    </w:p>
    <w:p w:rsidR="009675DE" w:rsidRPr="009675DE" w:rsidRDefault="009675DE" w:rsidP="009675DE">
      <w:pPr>
        <w:pStyle w:val="Default"/>
        <w:spacing w:after="181"/>
        <w:jc w:val="both"/>
        <w:rPr>
          <w:rFonts w:ascii="Museo Sans 300" w:hAnsi="Museo Sans 300"/>
          <w:sz w:val="22"/>
          <w:szCs w:val="22"/>
        </w:rPr>
      </w:pPr>
      <w:r w:rsidRPr="009675DE">
        <w:rPr>
          <w:rFonts w:ascii="Museo Sans 300" w:hAnsi="Museo Sans 300"/>
          <w:sz w:val="22"/>
          <w:szCs w:val="22"/>
        </w:rPr>
        <w:lastRenderedPageBreak/>
        <w:t>y) Presentar al Consejo el proyecto de Presupuesto Anual y Régimen de Salarios de la Superintendencia</w:t>
      </w:r>
      <w:r>
        <w:rPr>
          <w:rFonts w:ascii="Museo Sans 300" w:hAnsi="Museo Sans 300"/>
          <w:sz w:val="22"/>
          <w:szCs w:val="22"/>
        </w:rPr>
        <w:t>,</w:t>
      </w:r>
      <w:r w:rsidRPr="009675DE">
        <w:rPr>
          <w:rFonts w:ascii="Museo Sans 300" w:hAnsi="Museo Sans 300"/>
          <w:sz w:val="22"/>
          <w:szCs w:val="22"/>
        </w:rPr>
        <w:t xml:space="preserve"> así como sus modificaciones, para su aprobación. </w:t>
      </w:r>
    </w:p>
    <w:p w:rsidR="009675DE" w:rsidRPr="009675DE" w:rsidRDefault="009675DE" w:rsidP="009675DE">
      <w:pPr>
        <w:pStyle w:val="Default"/>
        <w:jc w:val="both"/>
        <w:rPr>
          <w:rFonts w:ascii="Museo Sans 300" w:hAnsi="Museo Sans 300"/>
          <w:sz w:val="22"/>
          <w:szCs w:val="22"/>
        </w:rPr>
      </w:pPr>
      <w:r w:rsidRPr="009675DE">
        <w:rPr>
          <w:rFonts w:ascii="Museo Sans 300" w:hAnsi="Museo Sans 300"/>
          <w:sz w:val="22"/>
          <w:szCs w:val="22"/>
        </w:rPr>
        <w:t>z) Ejercer las demás funciones de vigilancia, inspección y fiscalización que le correspondan de acuerdo con las leyes y d</w:t>
      </w:r>
      <w:r>
        <w:rPr>
          <w:rFonts w:ascii="Museo Sans 300" w:hAnsi="Museo Sans 300"/>
          <w:sz w:val="22"/>
          <w:szCs w:val="22"/>
        </w:rPr>
        <w:t xml:space="preserve">emás disposiciones aplicables. </w:t>
      </w:r>
      <w:bookmarkStart w:id="0" w:name="_GoBack"/>
      <w:bookmarkEnd w:id="0"/>
    </w:p>
    <w:sectPr w:rsidR="009675DE" w:rsidRPr="009675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DE"/>
    <w:rsid w:val="009675DE"/>
    <w:rsid w:val="009F295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A0C3"/>
  <w15:chartTrackingRefBased/>
  <w15:docId w15:val="{919400B3-4322-4F8C-9CF7-88E6E8B1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675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4965</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Marcel Menjivar Navarrete</dc:creator>
  <cp:keywords/>
  <dc:description/>
  <cp:lastModifiedBy>Cristian Marcel Menjivar Navarrete</cp:lastModifiedBy>
  <cp:revision>1</cp:revision>
  <dcterms:created xsi:type="dcterms:W3CDTF">2020-11-23T20:16:00Z</dcterms:created>
  <dcterms:modified xsi:type="dcterms:W3CDTF">2020-11-23T20:19:00Z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c23cf41c-ffba-4807-a125-2923ec3e421d</vt:lpwstr>
  </property>
</Properties>
</file>