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8" w:rsidRDefault="005E5638" w:rsidP="005E5638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Calibri" w:eastAsia="Calibri" w:hAnsi="Calibri"/>
          <w:b/>
          <w:lang w:val="es-MX" w:eastAsia="en-US"/>
        </w:rPr>
      </w:pPr>
      <w:r>
        <w:rPr>
          <w:rFonts w:ascii="Calibri" w:eastAsia="Calibri" w:hAnsi="Calibri"/>
          <w:b/>
          <w:lang w:val="es-MX" w:eastAsia="en-US"/>
        </w:rPr>
        <w:t>RESULTADOS DE MECANISMOS DE PARTICIPACIÓN CIUDADANA</w:t>
      </w:r>
    </w:p>
    <w:p w:rsidR="005E5638" w:rsidRDefault="005E5638" w:rsidP="006C7F4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Calibri" w:eastAsia="Calibri" w:hAnsi="Calibri"/>
          <w:b/>
          <w:lang w:val="es-MX" w:eastAsia="en-US"/>
        </w:rPr>
      </w:pPr>
      <w:bookmarkStart w:id="0" w:name="_GoBack"/>
      <w:bookmarkEnd w:id="0"/>
    </w:p>
    <w:p w:rsidR="006C7F4E" w:rsidRDefault="006C7F4E" w:rsidP="006C7F4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Calibri" w:eastAsia="Calibri" w:hAnsi="Calibri"/>
          <w:b/>
          <w:lang w:val="es-MX" w:eastAsia="en-US"/>
        </w:rPr>
      </w:pPr>
      <w:r>
        <w:rPr>
          <w:rFonts w:ascii="Calibri" w:eastAsia="Calibri" w:hAnsi="Calibri"/>
          <w:b/>
          <w:lang w:val="es-MX" w:eastAsia="en-US"/>
        </w:rPr>
        <w:t xml:space="preserve"> </w:t>
      </w:r>
      <w:r w:rsidRPr="00D91F78">
        <w:rPr>
          <w:rFonts w:ascii="Calibri" w:eastAsia="Calibri" w:hAnsi="Calibri"/>
          <w:b/>
          <w:lang w:val="es-MX" w:eastAsia="en-US"/>
        </w:rPr>
        <w:t>Consultas ciudadana. (Detalle cantidad, fecha, tema y número de personas que participaron)</w:t>
      </w:r>
    </w:p>
    <w:p w:rsidR="006C7F4E" w:rsidRPr="00D91F78" w:rsidRDefault="006C7F4E" w:rsidP="006C7F4E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Calibri" w:eastAsia="Calibri" w:hAnsi="Calibri"/>
          <w:b/>
          <w:lang w:val="es-MX" w:eastAsia="en-US"/>
        </w:rPr>
      </w:pPr>
    </w:p>
    <w:tbl>
      <w:tblPr>
        <w:tblW w:w="910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1432"/>
        <w:gridCol w:w="4663"/>
        <w:gridCol w:w="1845"/>
      </w:tblGrid>
      <w:tr w:rsidR="006C7F4E" w:rsidRPr="00D91F78" w:rsidTr="00FD4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122" w:right="124" w:firstLine="4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122" w:right="124" w:firstLine="4"/>
              <w:jc w:val="center"/>
              <w:rPr>
                <w:rFonts w:ascii="Calibri" w:hAnsi="Calibri" w:cs="Times New Roman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  <w:sz w:val="22"/>
              </w:rPr>
              <w:t>Cantidad de   Consulta</w:t>
            </w:r>
            <w:r w:rsidRPr="00D91F78">
              <w:rPr>
                <w:rFonts w:ascii="Calibri" w:hAnsi="Calibri"/>
                <w:b/>
                <w:bCs/>
                <w:i/>
                <w:iCs/>
              </w:rPr>
              <w:t>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405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405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405"/>
              <w:jc w:val="both"/>
              <w:rPr>
                <w:rFonts w:ascii="Calibri" w:hAnsi="Calibri" w:cs="Times New Roman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Fecha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2253" w:right="1701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2253" w:right="1701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2253" w:right="1701"/>
              <w:rPr>
                <w:rFonts w:ascii="Calibri" w:hAnsi="Calibri"/>
                <w:b/>
                <w:bCs/>
                <w:i/>
                <w:iCs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Tema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367" w:right="369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ind w:left="367" w:right="369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Número de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218" w:lineRule="exact"/>
              <w:ind w:left="81" w:right="84"/>
              <w:jc w:val="center"/>
              <w:rPr>
                <w:rFonts w:ascii="Calibri" w:hAnsi="Calibri" w:cs="Times New Roman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Participantes</w:t>
            </w:r>
          </w:p>
        </w:tc>
      </w:tr>
      <w:tr w:rsidR="006C7F4E" w:rsidRPr="00D91F78" w:rsidTr="00FD4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jc w:val="center"/>
              <w:rPr>
                <w:rFonts w:ascii="Calibri" w:hAnsi="Calibri" w:cs="Times New Roman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ind w:left="182" w:firstLine="4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  <w:sz w:val="22"/>
              </w:rPr>
              <w:t>Sept./2016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77" w:right="163" w:firstLine="4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77" w:right="163" w:firstLine="4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  <w:sz w:val="22"/>
              </w:rPr>
              <w:t xml:space="preserve">Mayo/2017 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77" w:right="163" w:firstLine="4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77" w:right="163" w:firstLine="4"/>
              <w:jc w:val="both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77" w:right="163" w:firstLine="4"/>
              <w:jc w:val="both"/>
              <w:rPr>
                <w:rFonts w:ascii="Calibri" w:hAnsi="Calibri" w:cs="Times New Roman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  <w:sz w:val="22"/>
              </w:rPr>
              <w:t>Junio/2017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ind w:left="103" w:right="103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 xml:space="preserve">1.- Grupos Focales (se </w:t>
            </w:r>
            <w:r w:rsidRPr="00D91F78">
              <w:rPr>
                <w:rFonts w:ascii="Calibri" w:hAnsi="Calibri"/>
                <w:b/>
                <w:bCs/>
                <w:i/>
                <w:iCs/>
              </w:rPr>
              <w:t>realizó</w:t>
            </w:r>
            <w:r w:rsidRPr="00D91F78">
              <w:rPr>
                <w:rFonts w:ascii="Calibri" w:hAnsi="Calibri"/>
                <w:b/>
                <w:bCs/>
                <w:i/>
                <w:iCs/>
              </w:rPr>
              <w:t xml:space="preserve"> Consulta Ciudadana a diferentes Grupos: personas jóvenes, mujeres, pueblos originarios, población LGBTI)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03" w:right="320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 xml:space="preserve">2.- Sondeo presencial (Política Nacional de Empleo) 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03" w:right="320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 w:line="390" w:lineRule="atLeast"/>
              <w:ind w:left="103" w:right="320"/>
              <w:jc w:val="both"/>
              <w:rPr>
                <w:rFonts w:ascii="Calibri" w:hAnsi="Calibri" w:cs="Times New Roman"/>
                <w:i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3.- Sondeo Virtual (Política Nacional de Empleo)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Pr="00D91F78" w:rsidRDefault="006C7F4E" w:rsidP="00FD4368">
            <w:pPr>
              <w:pStyle w:val="TableParagraph"/>
              <w:kinsoku w:val="0"/>
              <w:overflowPunct w:val="0"/>
              <w:ind w:left="367" w:right="369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-x-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1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ind w:left="367" w:right="369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ind w:left="367" w:right="369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ind w:left="0" w:right="369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 xml:space="preserve">   480</w:t>
            </w: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ind w:left="367" w:right="369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ind w:right="369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  <w:p w:rsidR="006C7F4E" w:rsidRPr="00D91F78" w:rsidRDefault="006C7F4E" w:rsidP="00FD4368">
            <w:pPr>
              <w:pStyle w:val="TableParagraph"/>
              <w:kinsoku w:val="0"/>
              <w:overflowPunct w:val="0"/>
              <w:spacing w:before="0"/>
              <w:ind w:right="369"/>
              <w:jc w:val="both"/>
              <w:rPr>
                <w:rFonts w:ascii="Calibri" w:hAnsi="Calibri" w:cs="Times New Roman"/>
              </w:rPr>
            </w:pPr>
            <w:r w:rsidRPr="00D91F78">
              <w:rPr>
                <w:rFonts w:ascii="Calibri" w:hAnsi="Calibri"/>
                <w:b/>
                <w:bCs/>
                <w:i/>
                <w:iCs/>
              </w:rPr>
              <w:t>670</w:t>
            </w:r>
          </w:p>
        </w:tc>
      </w:tr>
    </w:tbl>
    <w:p w:rsidR="006C7F4E" w:rsidRDefault="006C7F4E">
      <w:r>
        <w:t xml:space="preserve"> </w:t>
      </w:r>
    </w:p>
    <w:p w:rsidR="006C7F4E" w:rsidRDefault="006C7F4E" w:rsidP="006C7F4E">
      <w:pPr>
        <w:jc w:val="right"/>
        <w:rPr>
          <w:b/>
          <w:sz w:val="24"/>
          <w:u w:val="single"/>
        </w:rPr>
      </w:pPr>
      <w:r w:rsidRPr="006C7F4E">
        <w:rPr>
          <w:b/>
          <w:sz w:val="24"/>
          <w:u w:val="single"/>
        </w:rPr>
        <w:t>LANZAMIENTO DE POLÍTICA NACIONAL DE EMPLEO 08 DE SEPTIMEBRE DE 2017</w:t>
      </w:r>
    </w:p>
    <w:p w:rsidR="006C7F4E" w:rsidRDefault="006C7F4E" w:rsidP="006C7F4E">
      <w:pPr>
        <w:jc w:val="right"/>
        <w:rPr>
          <w:b/>
          <w:sz w:val="24"/>
          <w:u w:val="single"/>
        </w:rPr>
      </w:pPr>
    </w:p>
    <w:p w:rsidR="006C7F4E" w:rsidRPr="006C7F4E" w:rsidRDefault="006C7F4E" w:rsidP="006C7F4E">
      <w:pPr>
        <w:pStyle w:val="p1"/>
        <w:spacing w:before="0" w:beforeAutospacing="0" w:after="0" w:afterAutospacing="0"/>
        <w:jc w:val="center"/>
        <w:textAlignment w:val="baseline"/>
        <w:rPr>
          <w:rStyle w:val="s1"/>
          <w:rFonts w:asciiTheme="majorHAnsi" w:hAnsiTheme="majorHAnsi" w:cs="Arial"/>
          <w:b/>
          <w:bCs/>
          <w:color w:val="000000" w:themeColor="text1"/>
          <w:szCs w:val="23"/>
          <w:bdr w:val="none" w:sz="0" w:space="0" w:color="auto" w:frame="1"/>
        </w:rPr>
      </w:pPr>
      <w:r w:rsidRPr="006C7F4E">
        <w:rPr>
          <w:rStyle w:val="s1"/>
          <w:rFonts w:asciiTheme="majorHAnsi" w:hAnsiTheme="majorHAnsi" w:cs="Arial"/>
          <w:b/>
          <w:bCs/>
          <w:color w:val="000000" w:themeColor="text1"/>
          <w:szCs w:val="23"/>
          <w:bdr w:val="none" w:sz="0" w:space="0" w:color="auto" w:frame="1"/>
        </w:rPr>
        <w:t>Proceso de elaboración de la Política Nacional de Empleo Decente</w:t>
      </w:r>
    </w:p>
    <w:p w:rsidR="006C7F4E" w:rsidRP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  <w:szCs w:val="23"/>
        </w:rPr>
      </w:pPr>
    </w:p>
    <w:p w:rsid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</w:pPr>
      <w:r w:rsidRPr="006C7F4E"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  <w:t>Para obtener el resultado final de la Política se realizaron varios pasos, entre estos, establecer el Sistema Nacional de Empleo (</w:t>
      </w:r>
      <w:proofErr w:type="spellStart"/>
      <w:r w:rsidRPr="006C7F4E"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  <w:t>SisNE</w:t>
      </w:r>
      <w:proofErr w:type="spellEnd"/>
      <w:r w:rsidRPr="006C7F4E"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  <w:t>), un espacio que facilita las condiciones básicas para la coordinación entre las instituciones públicas que ejecutan programas, proyectos y acciones en materia de empleo, empleabilidad, emprendimientos y formalización, a escala nacional y territorial.</w:t>
      </w:r>
    </w:p>
    <w:p w:rsidR="006C7F4E" w:rsidRP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  <w:szCs w:val="23"/>
        </w:rPr>
      </w:pPr>
    </w:p>
    <w:p w:rsid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</w:pPr>
      <w:r w:rsidRPr="006C7F4E"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  <w:t>Un segundo esfuerzo, consistió en abrir consultas a la opinión pública, dos sondeos de opinión: uno presencial que abarco personas usuarias de los servicios públicos del MTPS en todo el país y un sondeo virtual a través de la plataforma del MTPS y redes sociales. Un total de 1,002 personas (538 mujeres y 464 hombres) aportaron sus opiniones, mediante las cuales legitiman en un 99% la importancia de la política y validan los ejes principales que se presentan en la misma.</w:t>
      </w:r>
    </w:p>
    <w:p w:rsidR="006C7F4E" w:rsidRP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  <w:szCs w:val="23"/>
        </w:rPr>
      </w:pPr>
    </w:p>
    <w:p w:rsid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</w:pPr>
      <w:r w:rsidRPr="006C7F4E"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  <w:lastRenderedPageBreak/>
        <w:t>La ministra de Trabajo, Licda. Sandra Guevara, destacó que el acceso a un empleo digno y decente es un derecho de todas las personas, e implica tener una remuneración justa, y en condiciones saludables, seguridad ocupacional, estabilidad y protección social, entre otras, son las condiciones que todo empleo debe conceder a quien lo obtiene; consecuente con el mandato constitucional y alineado al enfoque del Buen Vivir perfilado en nuestro Plan Quinquenal de Desarrollo 2014-2019, con la meta de construir un país productivo, educado y seguro.</w:t>
      </w:r>
    </w:p>
    <w:p w:rsidR="006C7F4E" w:rsidRP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  <w:szCs w:val="23"/>
        </w:rPr>
      </w:pPr>
    </w:p>
    <w:p w:rsidR="006C7F4E" w:rsidRPr="006C7F4E" w:rsidRDefault="006C7F4E" w:rsidP="006C7F4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  <w:szCs w:val="23"/>
        </w:rPr>
      </w:pPr>
      <w:r w:rsidRPr="006C7F4E">
        <w:rPr>
          <w:rStyle w:val="s1"/>
          <w:rFonts w:asciiTheme="majorHAnsi" w:hAnsiTheme="majorHAnsi" w:cs="Arial"/>
          <w:color w:val="000000" w:themeColor="text1"/>
          <w:szCs w:val="23"/>
          <w:bdr w:val="none" w:sz="0" w:space="0" w:color="auto" w:frame="1"/>
        </w:rPr>
        <w:t>El cumplimiento de este objetivo no es tarea fácil ni de corto plazo, requiere del compromiso y la participación de todos los sectores productivos del país, principalmente de la empresa privada, siendo la finalidad esencial incorporar al mundo del trabajo a las, personas en edad de trabajar, desempleadas y por cuenta propia.</w:t>
      </w:r>
    </w:p>
    <w:p w:rsidR="006C7F4E" w:rsidRPr="006C7F4E" w:rsidRDefault="006C7F4E" w:rsidP="006C7F4E">
      <w:pPr>
        <w:jc w:val="both"/>
        <w:rPr>
          <w:rFonts w:asciiTheme="majorHAnsi" w:hAnsiTheme="majorHAnsi"/>
          <w:b/>
          <w:color w:val="000000" w:themeColor="text1"/>
          <w:sz w:val="28"/>
          <w:u w:val="single"/>
        </w:rPr>
      </w:pPr>
    </w:p>
    <w:sectPr w:rsidR="006C7F4E" w:rsidRPr="006C7F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782"/>
    <w:multiLevelType w:val="hybridMultilevel"/>
    <w:tmpl w:val="899EF17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4E"/>
    <w:rsid w:val="000009AE"/>
    <w:rsid w:val="0000596B"/>
    <w:rsid w:val="000062C8"/>
    <w:rsid w:val="0001177E"/>
    <w:rsid w:val="0001275D"/>
    <w:rsid w:val="00012B38"/>
    <w:rsid w:val="00014609"/>
    <w:rsid w:val="00014B1C"/>
    <w:rsid w:val="0001534C"/>
    <w:rsid w:val="00025568"/>
    <w:rsid w:val="0003363B"/>
    <w:rsid w:val="00037323"/>
    <w:rsid w:val="000426E1"/>
    <w:rsid w:val="0004343D"/>
    <w:rsid w:val="00052CA5"/>
    <w:rsid w:val="00060FB1"/>
    <w:rsid w:val="00067DB8"/>
    <w:rsid w:val="000745E4"/>
    <w:rsid w:val="000748D9"/>
    <w:rsid w:val="00080B8E"/>
    <w:rsid w:val="000865F5"/>
    <w:rsid w:val="00086775"/>
    <w:rsid w:val="00086917"/>
    <w:rsid w:val="00090EA4"/>
    <w:rsid w:val="00094809"/>
    <w:rsid w:val="000B0FEC"/>
    <w:rsid w:val="000B1AE6"/>
    <w:rsid w:val="000B2197"/>
    <w:rsid w:val="000B56A2"/>
    <w:rsid w:val="000B7A2D"/>
    <w:rsid w:val="000C1A8E"/>
    <w:rsid w:val="000C6A43"/>
    <w:rsid w:val="000E248F"/>
    <w:rsid w:val="000E294A"/>
    <w:rsid w:val="000E3A6A"/>
    <w:rsid w:val="000E59B7"/>
    <w:rsid w:val="000F032E"/>
    <w:rsid w:val="000F77F1"/>
    <w:rsid w:val="00100E2C"/>
    <w:rsid w:val="001039C0"/>
    <w:rsid w:val="00103A8F"/>
    <w:rsid w:val="00104063"/>
    <w:rsid w:val="0010478A"/>
    <w:rsid w:val="00111324"/>
    <w:rsid w:val="00116634"/>
    <w:rsid w:val="00133EDB"/>
    <w:rsid w:val="00136818"/>
    <w:rsid w:val="0013772B"/>
    <w:rsid w:val="00144B6D"/>
    <w:rsid w:val="00150ADC"/>
    <w:rsid w:val="00161F0D"/>
    <w:rsid w:val="001679FB"/>
    <w:rsid w:val="0017128D"/>
    <w:rsid w:val="001749C6"/>
    <w:rsid w:val="00177ADD"/>
    <w:rsid w:val="00180AFC"/>
    <w:rsid w:val="001838DD"/>
    <w:rsid w:val="00186748"/>
    <w:rsid w:val="00191649"/>
    <w:rsid w:val="00194CEB"/>
    <w:rsid w:val="00196237"/>
    <w:rsid w:val="001A001C"/>
    <w:rsid w:val="001A111D"/>
    <w:rsid w:val="001A1514"/>
    <w:rsid w:val="001A54D2"/>
    <w:rsid w:val="001A60FE"/>
    <w:rsid w:val="001C4964"/>
    <w:rsid w:val="001C778D"/>
    <w:rsid w:val="001C7F50"/>
    <w:rsid w:val="001D30A7"/>
    <w:rsid w:val="001D5F71"/>
    <w:rsid w:val="001D7CB7"/>
    <w:rsid w:val="001E29BF"/>
    <w:rsid w:val="001E2E52"/>
    <w:rsid w:val="001E349B"/>
    <w:rsid w:val="001E3AF3"/>
    <w:rsid w:val="001E4617"/>
    <w:rsid w:val="001F05BA"/>
    <w:rsid w:val="001F1044"/>
    <w:rsid w:val="001F2B74"/>
    <w:rsid w:val="001F3E1C"/>
    <w:rsid w:val="001F56FC"/>
    <w:rsid w:val="001F5BF3"/>
    <w:rsid w:val="00205593"/>
    <w:rsid w:val="00206D5E"/>
    <w:rsid w:val="00217DE9"/>
    <w:rsid w:val="00223118"/>
    <w:rsid w:val="00226D37"/>
    <w:rsid w:val="00231A4C"/>
    <w:rsid w:val="00235CC5"/>
    <w:rsid w:val="00235E9E"/>
    <w:rsid w:val="00237AC2"/>
    <w:rsid w:val="00240C46"/>
    <w:rsid w:val="00241E46"/>
    <w:rsid w:val="00247145"/>
    <w:rsid w:val="002509A3"/>
    <w:rsid w:val="00251DB3"/>
    <w:rsid w:val="00252A6A"/>
    <w:rsid w:val="002554EB"/>
    <w:rsid w:val="00262C1B"/>
    <w:rsid w:val="0026530C"/>
    <w:rsid w:val="00273567"/>
    <w:rsid w:val="00274C97"/>
    <w:rsid w:val="00277700"/>
    <w:rsid w:val="00280495"/>
    <w:rsid w:val="00281E22"/>
    <w:rsid w:val="002935E5"/>
    <w:rsid w:val="002A0ED6"/>
    <w:rsid w:val="002A3312"/>
    <w:rsid w:val="002B16C6"/>
    <w:rsid w:val="002B324A"/>
    <w:rsid w:val="002B5A94"/>
    <w:rsid w:val="002B6AF5"/>
    <w:rsid w:val="002C0664"/>
    <w:rsid w:val="002C717F"/>
    <w:rsid w:val="002C7F81"/>
    <w:rsid w:val="002D36BE"/>
    <w:rsid w:val="002D6BCE"/>
    <w:rsid w:val="002E2A8F"/>
    <w:rsid w:val="00303D9B"/>
    <w:rsid w:val="003047B1"/>
    <w:rsid w:val="003054DC"/>
    <w:rsid w:val="00311B2A"/>
    <w:rsid w:val="00315353"/>
    <w:rsid w:val="0031552A"/>
    <w:rsid w:val="003211B3"/>
    <w:rsid w:val="003213C2"/>
    <w:rsid w:val="003303AB"/>
    <w:rsid w:val="00330D68"/>
    <w:rsid w:val="00330EC4"/>
    <w:rsid w:val="003403E9"/>
    <w:rsid w:val="00344B4C"/>
    <w:rsid w:val="003473FA"/>
    <w:rsid w:val="00351EA8"/>
    <w:rsid w:val="00357C41"/>
    <w:rsid w:val="003700B1"/>
    <w:rsid w:val="00370582"/>
    <w:rsid w:val="00372150"/>
    <w:rsid w:val="0037461F"/>
    <w:rsid w:val="00377637"/>
    <w:rsid w:val="00386824"/>
    <w:rsid w:val="00397792"/>
    <w:rsid w:val="003A0CA2"/>
    <w:rsid w:val="003A0D86"/>
    <w:rsid w:val="003A2308"/>
    <w:rsid w:val="003A24F7"/>
    <w:rsid w:val="003A45EF"/>
    <w:rsid w:val="003A55C2"/>
    <w:rsid w:val="003B0323"/>
    <w:rsid w:val="003B28F3"/>
    <w:rsid w:val="003B461D"/>
    <w:rsid w:val="003B61FA"/>
    <w:rsid w:val="003B7AFC"/>
    <w:rsid w:val="003C34C1"/>
    <w:rsid w:val="003C5257"/>
    <w:rsid w:val="003C64D7"/>
    <w:rsid w:val="003C665B"/>
    <w:rsid w:val="003D0DD5"/>
    <w:rsid w:val="003D48BE"/>
    <w:rsid w:val="003D50A6"/>
    <w:rsid w:val="003E0674"/>
    <w:rsid w:val="003E2601"/>
    <w:rsid w:val="003E2A38"/>
    <w:rsid w:val="003E3FD3"/>
    <w:rsid w:val="003F2125"/>
    <w:rsid w:val="003F7601"/>
    <w:rsid w:val="003F7960"/>
    <w:rsid w:val="0040137A"/>
    <w:rsid w:val="0040717A"/>
    <w:rsid w:val="004077A9"/>
    <w:rsid w:val="00413377"/>
    <w:rsid w:val="00415C59"/>
    <w:rsid w:val="00422C9A"/>
    <w:rsid w:val="00451B2A"/>
    <w:rsid w:val="00462CFD"/>
    <w:rsid w:val="00467142"/>
    <w:rsid w:val="00467E1F"/>
    <w:rsid w:val="00472623"/>
    <w:rsid w:val="004728D2"/>
    <w:rsid w:val="00475B57"/>
    <w:rsid w:val="00477823"/>
    <w:rsid w:val="0048289B"/>
    <w:rsid w:val="00487E25"/>
    <w:rsid w:val="00492402"/>
    <w:rsid w:val="004A6572"/>
    <w:rsid w:val="004B173A"/>
    <w:rsid w:val="004B4670"/>
    <w:rsid w:val="004B4FB0"/>
    <w:rsid w:val="004C4CA9"/>
    <w:rsid w:val="004C67E0"/>
    <w:rsid w:val="004C7DE0"/>
    <w:rsid w:val="004D09E0"/>
    <w:rsid w:val="004D2EED"/>
    <w:rsid w:val="004D5B8A"/>
    <w:rsid w:val="004D5CCE"/>
    <w:rsid w:val="004D76AC"/>
    <w:rsid w:val="004F0979"/>
    <w:rsid w:val="004F45D9"/>
    <w:rsid w:val="004F5226"/>
    <w:rsid w:val="00500AA2"/>
    <w:rsid w:val="00500D12"/>
    <w:rsid w:val="0050147E"/>
    <w:rsid w:val="00501D3D"/>
    <w:rsid w:val="005040D2"/>
    <w:rsid w:val="00514D20"/>
    <w:rsid w:val="00515793"/>
    <w:rsid w:val="00520427"/>
    <w:rsid w:val="00522ED1"/>
    <w:rsid w:val="00523A20"/>
    <w:rsid w:val="0053240E"/>
    <w:rsid w:val="00534612"/>
    <w:rsid w:val="00535C2F"/>
    <w:rsid w:val="005413B9"/>
    <w:rsid w:val="00543994"/>
    <w:rsid w:val="0054742A"/>
    <w:rsid w:val="0055687F"/>
    <w:rsid w:val="00560365"/>
    <w:rsid w:val="00561A6B"/>
    <w:rsid w:val="005670BB"/>
    <w:rsid w:val="00583434"/>
    <w:rsid w:val="00596C1C"/>
    <w:rsid w:val="005A2542"/>
    <w:rsid w:val="005A63FC"/>
    <w:rsid w:val="005A682B"/>
    <w:rsid w:val="005A6C3E"/>
    <w:rsid w:val="005B29BE"/>
    <w:rsid w:val="005B6690"/>
    <w:rsid w:val="005B6ECC"/>
    <w:rsid w:val="005C6A40"/>
    <w:rsid w:val="005D0772"/>
    <w:rsid w:val="005E5638"/>
    <w:rsid w:val="005E6753"/>
    <w:rsid w:val="0060180A"/>
    <w:rsid w:val="00605628"/>
    <w:rsid w:val="00611986"/>
    <w:rsid w:val="00615D2D"/>
    <w:rsid w:val="0062007B"/>
    <w:rsid w:val="006229B7"/>
    <w:rsid w:val="0062648B"/>
    <w:rsid w:val="00630C4A"/>
    <w:rsid w:val="00636A07"/>
    <w:rsid w:val="00640D1E"/>
    <w:rsid w:val="00642137"/>
    <w:rsid w:val="00644543"/>
    <w:rsid w:val="00647E21"/>
    <w:rsid w:val="00660572"/>
    <w:rsid w:val="00661263"/>
    <w:rsid w:val="0066234F"/>
    <w:rsid w:val="006640D7"/>
    <w:rsid w:val="00667B27"/>
    <w:rsid w:val="00670D1F"/>
    <w:rsid w:val="00671675"/>
    <w:rsid w:val="00675D47"/>
    <w:rsid w:val="0068224E"/>
    <w:rsid w:val="00686A32"/>
    <w:rsid w:val="00690D73"/>
    <w:rsid w:val="00692758"/>
    <w:rsid w:val="006978D0"/>
    <w:rsid w:val="006A1340"/>
    <w:rsid w:val="006A2E7B"/>
    <w:rsid w:val="006A4A47"/>
    <w:rsid w:val="006B2E0D"/>
    <w:rsid w:val="006C0638"/>
    <w:rsid w:val="006C26A8"/>
    <w:rsid w:val="006C746E"/>
    <w:rsid w:val="006C7F4E"/>
    <w:rsid w:val="006D088B"/>
    <w:rsid w:val="006D5848"/>
    <w:rsid w:val="006E3C93"/>
    <w:rsid w:val="006F1063"/>
    <w:rsid w:val="006F3746"/>
    <w:rsid w:val="006F44BF"/>
    <w:rsid w:val="006F552B"/>
    <w:rsid w:val="006F5803"/>
    <w:rsid w:val="00700147"/>
    <w:rsid w:val="00703A2D"/>
    <w:rsid w:val="00724F35"/>
    <w:rsid w:val="00725392"/>
    <w:rsid w:val="00734447"/>
    <w:rsid w:val="007425A5"/>
    <w:rsid w:val="0074306C"/>
    <w:rsid w:val="00756A76"/>
    <w:rsid w:val="00757D1D"/>
    <w:rsid w:val="00762453"/>
    <w:rsid w:val="00766216"/>
    <w:rsid w:val="00777BBB"/>
    <w:rsid w:val="007866F3"/>
    <w:rsid w:val="00795474"/>
    <w:rsid w:val="007955E1"/>
    <w:rsid w:val="007B0515"/>
    <w:rsid w:val="007B3C55"/>
    <w:rsid w:val="007B59D4"/>
    <w:rsid w:val="007D0828"/>
    <w:rsid w:val="007D3D70"/>
    <w:rsid w:val="007D609C"/>
    <w:rsid w:val="007D711F"/>
    <w:rsid w:val="007E3BC4"/>
    <w:rsid w:val="007E4966"/>
    <w:rsid w:val="007F0B11"/>
    <w:rsid w:val="007F46FD"/>
    <w:rsid w:val="00802604"/>
    <w:rsid w:val="0080682F"/>
    <w:rsid w:val="00806D4C"/>
    <w:rsid w:val="00814531"/>
    <w:rsid w:val="00817589"/>
    <w:rsid w:val="00820DD3"/>
    <w:rsid w:val="00823686"/>
    <w:rsid w:val="00824735"/>
    <w:rsid w:val="008341C2"/>
    <w:rsid w:val="008347FC"/>
    <w:rsid w:val="0083755C"/>
    <w:rsid w:val="00846929"/>
    <w:rsid w:val="008470DB"/>
    <w:rsid w:val="00847E6E"/>
    <w:rsid w:val="0085183D"/>
    <w:rsid w:val="0085284F"/>
    <w:rsid w:val="00855E8D"/>
    <w:rsid w:val="0086106B"/>
    <w:rsid w:val="00863C52"/>
    <w:rsid w:val="00867E8E"/>
    <w:rsid w:val="00870738"/>
    <w:rsid w:val="00870C9C"/>
    <w:rsid w:val="0087326D"/>
    <w:rsid w:val="00873A47"/>
    <w:rsid w:val="0087435F"/>
    <w:rsid w:val="00877870"/>
    <w:rsid w:val="00880406"/>
    <w:rsid w:val="0088296F"/>
    <w:rsid w:val="00891EEB"/>
    <w:rsid w:val="008924C3"/>
    <w:rsid w:val="00893AE6"/>
    <w:rsid w:val="0089425E"/>
    <w:rsid w:val="00896F31"/>
    <w:rsid w:val="008A1D8F"/>
    <w:rsid w:val="008A2B08"/>
    <w:rsid w:val="008B1EB2"/>
    <w:rsid w:val="008C044A"/>
    <w:rsid w:val="008C168D"/>
    <w:rsid w:val="008C3FA1"/>
    <w:rsid w:val="008C5362"/>
    <w:rsid w:val="008C5F4E"/>
    <w:rsid w:val="008C613D"/>
    <w:rsid w:val="008D0EA7"/>
    <w:rsid w:val="008D388C"/>
    <w:rsid w:val="008E1946"/>
    <w:rsid w:val="008E328A"/>
    <w:rsid w:val="008E40D3"/>
    <w:rsid w:val="008E471F"/>
    <w:rsid w:val="008F4E7C"/>
    <w:rsid w:val="008F4FC3"/>
    <w:rsid w:val="008F5A0C"/>
    <w:rsid w:val="008F7BC4"/>
    <w:rsid w:val="008F7ED8"/>
    <w:rsid w:val="009014EB"/>
    <w:rsid w:val="00905028"/>
    <w:rsid w:val="00910D1C"/>
    <w:rsid w:val="00910F99"/>
    <w:rsid w:val="00912CBF"/>
    <w:rsid w:val="00915B32"/>
    <w:rsid w:val="009177AD"/>
    <w:rsid w:val="00931BDE"/>
    <w:rsid w:val="009449E9"/>
    <w:rsid w:val="00953983"/>
    <w:rsid w:val="00956FAB"/>
    <w:rsid w:val="00957A90"/>
    <w:rsid w:val="00961D57"/>
    <w:rsid w:val="00962EB8"/>
    <w:rsid w:val="00966444"/>
    <w:rsid w:val="00971F81"/>
    <w:rsid w:val="00977CD4"/>
    <w:rsid w:val="009806E9"/>
    <w:rsid w:val="00983218"/>
    <w:rsid w:val="00997DE4"/>
    <w:rsid w:val="009A02D4"/>
    <w:rsid w:val="009A1019"/>
    <w:rsid w:val="009A2C19"/>
    <w:rsid w:val="009B202B"/>
    <w:rsid w:val="009B76BA"/>
    <w:rsid w:val="009C2957"/>
    <w:rsid w:val="009C53E7"/>
    <w:rsid w:val="009C58D8"/>
    <w:rsid w:val="009C5A89"/>
    <w:rsid w:val="009C6535"/>
    <w:rsid w:val="009D259E"/>
    <w:rsid w:val="009D64C8"/>
    <w:rsid w:val="009E4009"/>
    <w:rsid w:val="009E63E4"/>
    <w:rsid w:val="009F3A56"/>
    <w:rsid w:val="009F6B75"/>
    <w:rsid w:val="00A01EB7"/>
    <w:rsid w:val="00A0682A"/>
    <w:rsid w:val="00A1541D"/>
    <w:rsid w:val="00A155FE"/>
    <w:rsid w:val="00A16E9F"/>
    <w:rsid w:val="00A216BF"/>
    <w:rsid w:val="00A309D1"/>
    <w:rsid w:val="00A30EE9"/>
    <w:rsid w:val="00A33271"/>
    <w:rsid w:val="00A33D71"/>
    <w:rsid w:val="00A463A5"/>
    <w:rsid w:val="00A466B3"/>
    <w:rsid w:val="00A47567"/>
    <w:rsid w:val="00A5589E"/>
    <w:rsid w:val="00A56EB5"/>
    <w:rsid w:val="00A5727C"/>
    <w:rsid w:val="00A61685"/>
    <w:rsid w:val="00A63A74"/>
    <w:rsid w:val="00A719B2"/>
    <w:rsid w:val="00A74795"/>
    <w:rsid w:val="00A75763"/>
    <w:rsid w:val="00A8436D"/>
    <w:rsid w:val="00A8589D"/>
    <w:rsid w:val="00A95A22"/>
    <w:rsid w:val="00A96A85"/>
    <w:rsid w:val="00A97A96"/>
    <w:rsid w:val="00AA1DCB"/>
    <w:rsid w:val="00AA4FCC"/>
    <w:rsid w:val="00AA6EB2"/>
    <w:rsid w:val="00AA73D1"/>
    <w:rsid w:val="00AB0DDF"/>
    <w:rsid w:val="00AB28C8"/>
    <w:rsid w:val="00AC1917"/>
    <w:rsid w:val="00AC24DB"/>
    <w:rsid w:val="00AD07C0"/>
    <w:rsid w:val="00AD35EF"/>
    <w:rsid w:val="00AD5ED8"/>
    <w:rsid w:val="00AE7F33"/>
    <w:rsid w:val="00AF4734"/>
    <w:rsid w:val="00AF49C8"/>
    <w:rsid w:val="00AF6DBC"/>
    <w:rsid w:val="00AF74F3"/>
    <w:rsid w:val="00B00855"/>
    <w:rsid w:val="00B03249"/>
    <w:rsid w:val="00B06EA6"/>
    <w:rsid w:val="00B07268"/>
    <w:rsid w:val="00B157DC"/>
    <w:rsid w:val="00B24B28"/>
    <w:rsid w:val="00B2664C"/>
    <w:rsid w:val="00B32B63"/>
    <w:rsid w:val="00B42453"/>
    <w:rsid w:val="00B45389"/>
    <w:rsid w:val="00B453D6"/>
    <w:rsid w:val="00B458B6"/>
    <w:rsid w:val="00B45F5A"/>
    <w:rsid w:val="00B501DD"/>
    <w:rsid w:val="00B5076B"/>
    <w:rsid w:val="00B553A1"/>
    <w:rsid w:val="00B6076C"/>
    <w:rsid w:val="00B62710"/>
    <w:rsid w:val="00B63C12"/>
    <w:rsid w:val="00B72EDE"/>
    <w:rsid w:val="00B7578D"/>
    <w:rsid w:val="00B819A7"/>
    <w:rsid w:val="00B841D4"/>
    <w:rsid w:val="00B91661"/>
    <w:rsid w:val="00B952F3"/>
    <w:rsid w:val="00B97C7B"/>
    <w:rsid w:val="00BA66BD"/>
    <w:rsid w:val="00BB788C"/>
    <w:rsid w:val="00BC3CC1"/>
    <w:rsid w:val="00BC58A1"/>
    <w:rsid w:val="00BD3447"/>
    <w:rsid w:val="00BD58FE"/>
    <w:rsid w:val="00BD5E10"/>
    <w:rsid w:val="00BE113E"/>
    <w:rsid w:val="00BE75D4"/>
    <w:rsid w:val="00BF24FF"/>
    <w:rsid w:val="00BF78DE"/>
    <w:rsid w:val="00BF7A42"/>
    <w:rsid w:val="00C03752"/>
    <w:rsid w:val="00C074F7"/>
    <w:rsid w:val="00C11D54"/>
    <w:rsid w:val="00C205E2"/>
    <w:rsid w:val="00C24112"/>
    <w:rsid w:val="00C27907"/>
    <w:rsid w:val="00C33DDA"/>
    <w:rsid w:val="00C342CC"/>
    <w:rsid w:val="00C34D56"/>
    <w:rsid w:val="00C35A7D"/>
    <w:rsid w:val="00C37490"/>
    <w:rsid w:val="00C37888"/>
    <w:rsid w:val="00C401F4"/>
    <w:rsid w:val="00C41300"/>
    <w:rsid w:val="00C4296A"/>
    <w:rsid w:val="00C431F8"/>
    <w:rsid w:val="00C4485E"/>
    <w:rsid w:val="00C468FE"/>
    <w:rsid w:val="00C46D9F"/>
    <w:rsid w:val="00C4741E"/>
    <w:rsid w:val="00C56C9E"/>
    <w:rsid w:val="00C61728"/>
    <w:rsid w:val="00C64889"/>
    <w:rsid w:val="00C670A7"/>
    <w:rsid w:val="00C706AC"/>
    <w:rsid w:val="00C712D2"/>
    <w:rsid w:val="00C7655D"/>
    <w:rsid w:val="00C86793"/>
    <w:rsid w:val="00C87500"/>
    <w:rsid w:val="00C87B83"/>
    <w:rsid w:val="00C93FF6"/>
    <w:rsid w:val="00C96EEE"/>
    <w:rsid w:val="00CA3908"/>
    <w:rsid w:val="00CA69A0"/>
    <w:rsid w:val="00CA6EBC"/>
    <w:rsid w:val="00CA7390"/>
    <w:rsid w:val="00CC1B71"/>
    <w:rsid w:val="00CC2322"/>
    <w:rsid w:val="00CC2D35"/>
    <w:rsid w:val="00CC48F1"/>
    <w:rsid w:val="00CC51D6"/>
    <w:rsid w:val="00CC79FC"/>
    <w:rsid w:val="00CD0661"/>
    <w:rsid w:val="00CD15DC"/>
    <w:rsid w:val="00CE168B"/>
    <w:rsid w:val="00CE1B6E"/>
    <w:rsid w:val="00CF32AA"/>
    <w:rsid w:val="00CF4F97"/>
    <w:rsid w:val="00D03A3D"/>
    <w:rsid w:val="00D04118"/>
    <w:rsid w:val="00D133C4"/>
    <w:rsid w:val="00D258A3"/>
    <w:rsid w:val="00D329A4"/>
    <w:rsid w:val="00D41EA8"/>
    <w:rsid w:val="00D43F18"/>
    <w:rsid w:val="00D46849"/>
    <w:rsid w:val="00D5382C"/>
    <w:rsid w:val="00D54B1F"/>
    <w:rsid w:val="00D622E5"/>
    <w:rsid w:val="00D66AF6"/>
    <w:rsid w:val="00D71924"/>
    <w:rsid w:val="00D72302"/>
    <w:rsid w:val="00D76F2F"/>
    <w:rsid w:val="00D93CE6"/>
    <w:rsid w:val="00D93E0D"/>
    <w:rsid w:val="00D945EF"/>
    <w:rsid w:val="00D97343"/>
    <w:rsid w:val="00DA1E96"/>
    <w:rsid w:val="00DA2C53"/>
    <w:rsid w:val="00DB098C"/>
    <w:rsid w:val="00DB11BD"/>
    <w:rsid w:val="00DB3009"/>
    <w:rsid w:val="00DB4504"/>
    <w:rsid w:val="00DC1064"/>
    <w:rsid w:val="00DC5DE1"/>
    <w:rsid w:val="00DC6CA3"/>
    <w:rsid w:val="00DD119A"/>
    <w:rsid w:val="00DD3562"/>
    <w:rsid w:val="00DD5553"/>
    <w:rsid w:val="00DE3828"/>
    <w:rsid w:val="00DE48E3"/>
    <w:rsid w:val="00DF59C4"/>
    <w:rsid w:val="00DF5B0B"/>
    <w:rsid w:val="00DF5C46"/>
    <w:rsid w:val="00E017FF"/>
    <w:rsid w:val="00E024BB"/>
    <w:rsid w:val="00E04780"/>
    <w:rsid w:val="00E04EBE"/>
    <w:rsid w:val="00E11BB1"/>
    <w:rsid w:val="00E147B5"/>
    <w:rsid w:val="00E15F87"/>
    <w:rsid w:val="00E16675"/>
    <w:rsid w:val="00E1668A"/>
    <w:rsid w:val="00E17DEF"/>
    <w:rsid w:val="00E215F4"/>
    <w:rsid w:val="00E33DFB"/>
    <w:rsid w:val="00E372E7"/>
    <w:rsid w:val="00E37D0A"/>
    <w:rsid w:val="00E417CF"/>
    <w:rsid w:val="00E434DE"/>
    <w:rsid w:val="00E4549C"/>
    <w:rsid w:val="00E4664F"/>
    <w:rsid w:val="00E46E7D"/>
    <w:rsid w:val="00E50EC9"/>
    <w:rsid w:val="00E57A0E"/>
    <w:rsid w:val="00E57A3A"/>
    <w:rsid w:val="00E613D0"/>
    <w:rsid w:val="00E6606F"/>
    <w:rsid w:val="00E70848"/>
    <w:rsid w:val="00E70D03"/>
    <w:rsid w:val="00E7223D"/>
    <w:rsid w:val="00E81B56"/>
    <w:rsid w:val="00E82DB9"/>
    <w:rsid w:val="00E8335B"/>
    <w:rsid w:val="00E8612F"/>
    <w:rsid w:val="00E8781D"/>
    <w:rsid w:val="00E91653"/>
    <w:rsid w:val="00E94635"/>
    <w:rsid w:val="00E95683"/>
    <w:rsid w:val="00E97D32"/>
    <w:rsid w:val="00EA78BD"/>
    <w:rsid w:val="00EB54E6"/>
    <w:rsid w:val="00EC0A9E"/>
    <w:rsid w:val="00ED0EA4"/>
    <w:rsid w:val="00ED3ED9"/>
    <w:rsid w:val="00ED4D2E"/>
    <w:rsid w:val="00ED5BB7"/>
    <w:rsid w:val="00EE2C37"/>
    <w:rsid w:val="00EE55A0"/>
    <w:rsid w:val="00EF03FE"/>
    <w:rsid w:val="00EF13DF"/>
    <w:rsid w:val="00EF51F6"/>
    <w:rsid w:val="00EF54B7"/>
    <w:rsid w:val="00EF6BE3"/>
    <w:rsid w:val="00EF7A9C"/>
    <w:rsid w:val="00F0065B"/>
    <w:rsid w:val="00F03CA1"/>
    <w:rsid w:val="00F1187B"/>
    <w:rsid w:val="00F140E2"/>
    <w:rsid w:val="00F160F0"/>
    <w:rsid w:val="00F164BA"/>
    <w:rsid w:val="00F166A7"/>
    <w:rsid w:val="00F16EC7"/>
    <w:rsid w:val="00F177D1"/>
    <w:rsid w:val="00F17EF2"/>
    <w:rsid w:val="00F20159"/>
    <w:rsid w:val="00F21063"/>
    <w:rsid w:val="00F236F4"/>
    <w:rsid w:val="00F2537C"/>
    <w:rsid w:val="00F36B77"/>
    <w:rsid w:val="00F402C4"/>
    <w:rsid w:val="00F41E76"/>
    <w:rsid w:val="00F43C28"/>
    <w:rsid w:val="00F441F7"/>
    <w:rsid w:val="00F45BA0"/>
    <w:rsid w:val="00F51615"/>
    <w:rsid w:val="00F51A0A"/>
    <w:rsid w:val="00F532DA"/>
    <w:rsid w:val="00F53322"/>
    <w:rsid w:val="00F55355"/>
    <w:rsid w:val="00F5799B"/>
    <w:rsid w:val="00F6446F"/>
    <w:rsid w:val="00F67026"/>
    <w:rsid w:val="00F679A0"/>
    <w:rsid w:val="00F67BF7"/>
    <w:rsid w:val="00F74F86"/>
    <w:rsid w:val="00F75C5E"/>
    <w:rsid w:val="00F76CD9"/>
    <w:rsid w:val="00F82B3C"/>
    <w:rsid w:val="00F831DC"/>
    <w:rsid w:val="00F950FF"/>
    <w:rsid w:val="00F960A4"/>
    <w:rsid w:val="00F97D74"/>
    <w:rsid w:val="00FA2AA1"/>
    <w:rsid w:val="00FA640B"/>
    <w:rsid w:val="00FB4546"/>
    <w:rsid w:val="00FC45A4"/>
    <w:rsid w:val="00FC673C"/>
    <w:rsid w:val="00FC749D"/>
    <w:rsid w:val="00FD081C"/>
    <w:rsid w:val="00FD658A"/>
    <w:rsid w:val="00FE0050"/>
    <w:rsid w:val="00FE32F8"/>
    <w:rsid w:val="00FE7642"/>
    <w:rsid w:val="00FF0417"/>
    <w:rsid w:val="00FF0AAD"/>
    <w:rsid w:val="00FF2A0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D9525-D036-4202-94F3-ACDC5DF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TableParagraph">
    <w:name w:val="Table Paragraph"/>
    <w:basedOn w:val="Normal"/>
    <w:uiPriority w:val="1"/>
    <w:qFormat/>
    <w:rsid w:val="006C7F4E"/>
    <w:pPr>
      <w:widowControl w:val="0"/>
      <w:autoSpaceDE w:val="0"/>
      <w:autoSpaceDN w:val="0"/>
      <w:adjustRightInd w:val="0"/>
      <w:spacing w:before="50" w:after="0" w:line="240" w:lineRule="auto"/>
      <w:ind w:left="66"/>
    </w:pPr>
    <w:rPr>
      <w:rFonts w:ascii="Arial" w:eastAsia="Times New Roman" w:hAnsi="Arial" w:cs="Arial"/>
      <w:sz w:val="24"/>
      <w:szCs w:val="24"/>
      <w:lang w:eastAsia="es-SV"/>
    </w:rPr>
  </w:style>
  <w:style w:type="paragraph" w:customStyle="1" w:styleId="p1">
    <w:name w:val="p1"/>
    <w:basedOn w:val="Normal"/>
    <w:rsid w:val="006C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s1">
    <w:name w:val="s1"/>
    <w:basedOn w:val="Fuentedeprrafopredeter"/>
    <w:rsid w:val="006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Garcia</dc:creator>
  <cp:keywords/>
  <dc:description/>
  <cp:lastModifiedBy>Yeny Garcia</cp:lastModifiedBy>
  <cp:revision>2</cp:revision>
  <dcterms:created xsi:type="dcterms:W3CDTF">2017-09-12T20:01:00Z</dcterms:created>
  <dcterms:modified xsi:type="dcterms:W3CDTF">2017-09-12T20:09:00Z</dcterms:modified>
</cp:coreProperties>
</file>