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E9" w:rsidRDefault="00D72ADA">
      <w:pPr>
        <w:pStyle w:val="Leyendadelaimagen0"/>
        <w:framePr w:wrap="notBeside" w:vAnchor="text" w:hAnchor="text" w:xAlign="center" w:y="1"/>
        <w:shd w:val="clear" w:color="auto" w:fill="auto"/>
        <w:spacing w:line="80" w:lineRule="exact"/>
        <w:jc w:val="center"/>
      </w:pPr>
      <w:r>
        <w:rPr>
          <w:rStyle w:val="Leyendadelaimagen1"/>
        </w:rPr>
        <w:t>0.DOR</w:t>
      </w:r>
    </w:p>
    <w:p w:rsidR="00901EE9" w:rsidRDefault="005C4778">
      <w:pPr>
        <w:framePr w:wrap="notBeside" w:vAnchor="text" w:hAnchor="text" w:xAlign="center" w:y="1"/>
        <w:jc w:val="center"/>
        <w:rPr>
          <w:sz w:val="0"/>
          <w:szCs w:val="0"/>
        </w:rPr>
      </w:pPr>
      <w:r>
        <w:rPr>
          <w:noProof/>
          <w:lang w:val="es-SV"/>
        </w:rPr>
        <w:drawing>
          <wp:inline distT="0" distB="0" distL="0" distR="0">
            <wp:extent cx="516255" cy="470535"/>
            <wp:effectExtent l="0" t="0" r="0" b="5715"/>
            <wp:docPr id="1" name="Imagen 1" descr="C:\Users\KARENC~1.GOB\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C~1.GOB\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 cy="470535"/>
                    </a:xfrm>
                    <a:prstGeom prst="rect">
                      <a:avLst/>
                    </a:prstGeom>
                    <a:noFill/>
                    <a:ln>
                      <a:noFill/>
                    </a:ln>
                  </pic:spPr>
                </pic:pic>
              </a:graphicData>
            </a:graphic>
          </wp:inline>
        </w:drawing>
      </w:r>
    </w:p>
    <w:p w:rsidR="00901EE9" w:rsidRDefault="00901EE9">
      <w:pPr>
        <w:rPr>
          <w:sz w:val="2"/>
          <w:szCs w:val="2"/>
        </w:rPr>
      </w:pPr>
    </w:p>
    <w:p w:rsidR="00901EE9" w:rsidRDefault="00D72ADA">
      <w:pPr>
        <w:pStyle w:val="Cuerpodeltexto20"/>
        <w:shd w:val="clear" w:color="auto" w:fill="auto"/>
        <w:spacing w:before="115"/>
      </w:pPr>
      <w:r>
        <w:t>"CONTRATO DE SERVICIO DE CONSULTORÍA DE DISEÑO DE HERRAMIENTAS METODOLOGICAS QUE FACILITEN LA PLANIFICACION COORDINADA DE LOS GABINETES DE GESTION DEPARTAMENTAL TENIENDO EN CUENTA LAS PRIORIDADES DE LAS ORGANIZACIONES SOCIO-PRODUCTIVAS DEK</w:t>
      </w:r>
    </w:p>
    <w:p w:rsidR="00901EE9" w:rsidRDefault="00D72ADA">
      <w:pPr>
        <w:pStyle w:val="Cuerpodeltexto20"/>
        <w:shd w:val="clear" w:color="auto" w:fill="auto"/>
        <w:spacing w:before="0" w:after="129"/>
      </w:pPr>
      <w:r>
        <w:t>TERRITORIAL" No. MG-050/2017</w:t>
      </w:r>
    </w:p>
    <w:p w:rsidR="00901EE9" w:rsidRDefault="00D72ADA">
      <w:pPr>
        <w:pStyle w:val="Cuerpodeltexto0"/>
        <w:shd w:val="clear" w:color="auto" w:fill="auto"/>
        <w:spacing w:before="0"/>
        <w:ind w:left="20" w:right="20"/>
      </w:pPr>
      <w:r>
        <w:t>Nosotros,</w:t>
      </w:r>
      <w:r>
        <w:rPr>
          <w:rStyle w:val="CuerpodeltextoNegrita"/>
        </w:rPr>
        <w:t xml:space="preserve"> </w:t>
      </w:r>
      <w:r w:rsidR="001E3BD0">
        <w:rPr>
          <w:rStyle w:val="CuerpodeltextoNegrita"/>
        </w:rPr>
        <w:t>--------------------------------------------------------------------------</w:t>
      </w:r>
      <w:r>
        <w:rPr>
          <w:rStyle w:val="CuerpodeltextoNegrita"/>
        </w:rPr>
        <w:t>,</w:t>
      </w:r>
      <w:r>
        <w:t xml:space="preserve"> de </w:t>
      </w:r>
      <w:r w:rsidR="001E3BD0">
        <w:t>-------------------------------------</w:t>
      </w:r>
      <w:r>
        <w:t xml:space="preserve"> de edad, Abogada y Notario, de este domicilio, con Documento Único de Identidad número: </w:t>
      </w:r>
      <w:r w:rsidR="001E3BD0">
        <w:t>------------------------------------------</w:t>
      </w:r>
      <w:r>
        <w:t>; 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w:t>
      </w:r>
      <w:r>
        <w:rPr>
          <w:rStyle w:val="CuerpodeltextoNegrita"/>
        </w:rPr>
        <w:t xml:space="preserve"> "EL MINISTERIO"; </w:t>
      </w:r>
      <w:r>
        <w:t>y</w:t>
      </w:r>
      <w:r>
        <w:rPr>
          <w:rStyle w:val="CuerpodeltextoNegrita"/>
        </w:rPr>
        <w:t xml:space="preserve"> </w:t>
      </w:r>
      <w:r w:rsidR="001E3BD0">
        <w:rPr>
          <w:rStyle w:val="CuerpodeltextoNegrita"/>
        </w:rPr>
        <w:t>-------------------------------------</w:t>
      </w:r>
      <w:r>
        <w:rPr>
          <w:rStyle w:val="CuerpodeltextoNegrita"/>
        </w:rPr>
        <w:t>,</w:t>
      </w:r>
      <w:r>
        <w:t xml:space="preserve"> de </w:t>
      </w:r>
      <w:r w:rsidR="001E3BD0">
        <w:t>---------------------------</w:t>
      </w:r>
      <w:r>
        <w:t xml:space="preserve">, </w:t>
      </w:r>
      <w:r w:rsidR="001E3BD0">
        <w:t>------------------------------------------------</w:t>
      </w:r>
      <w:r>
        <w:t xml:space="preserve">, portador del Documento Único de Identidad número </w:t>
      </w:r>
      <w:r w:rsidR="001E3BD0">
        <w:t>----------------------------------------------------</w:t>
      </w:r>
      <w:r>
        <w:t xml:space="preserve"> y Número de Identificación Tributaria </w:t>
      </w:r>
      <w:r w:rsidR="001E3BD0">
        <w:t>-----------------------------------------------</w:t>
      </w:r>
      <w:r>
        <w:t>; actuando en mi calidad de persona natural, por lo que estoy plenamente facultada para otorgar actos como el que ampara este instrumento, que en lo sucesivo me denominaré</w:t>
      </w:r>
      <w:r>
        <w:rPr>
          <w:rStyle w:val="CuerpodeltextoNegrita"/>
        </w:rPr>
        <w:t xml:space="preserve"> "EL CONTRATISTA",</w:t>
      </w:r>
      <w:r>
        <w:t xml:space="preserve"> por lo que convenimos en celebrar y al efecto así lo hacemos, con base en el proceso de</w:t>
      </w:r>
      <w:r>
        <w:rPr>
          <w:rStyle w:val="CuerpodeltextoNegrita"/>
        </w:rPr>
        <w:t xml:space="preserve"> LIBRE GESTIÓN</w:t>
      </w:r>
      <w:r>
        <w:t xml:space="preserve"> denominado</w:t>
      </w:r>
      <w:r>
        <w:rPr>
          <w:rStyle w:val="CuerpodeltextoNegrita"/>
        </w:rPr>
        <w:t xml:space="preserve"> "CONTRATACION DE SERVICIOS PROFESIONALES DE CONSULTORÍA PARA DISEÑO DE PROGRAMA DE FORMACION Y CAPACITACION EN DESARROLLO TERRITORIAL, CONSULTORIA DE DISEÑO DE HERRAMIENTAS METODOLOGICAS QUE FACILITEN LA PLANIFICACION COORDINADA DE LOS GABINETES DE GESTION DEPARTAMENTAL TENIENDO EN CUENTA LAS PRIORIDADES DE LAS ORGANIZACIONES SOCIO-PRODUCTIVAS DEL TERRITORIO Y CONSULTORIA</w:t>
      </w:r>
    </w:p>
    <w:p w:rsidR="00901EE9" w:rsidRDefault="00D72ADA">
      <w:pPr>
        <w:pStyle w:val="Cuerpodeltexto0"/>
        <w:shd w:val="clear" w:color="auto" w:fill="auto"/>
        <w:spacing w:before="0" w:line="408" w:lineRule="exact"/>
        <w:ind w:left="20"/>
      </w:pPr>
      <w:r>
        <w:rPr>
          <w:rStyle w:val="CuerpodeltextoNegrita0"/>
        </w:rPr>
        <w:t>PARA MAPEO Y TIPOLOGIA DE ACTORES TERRITORIALES SOCIOPRODUCTIVOS ESCALA DEPARTAMENTAL Y MUNICIPAL DE EL SALVADOR",</w:t>
      </w:r>
      <w:r>
        <w:t xml:space="preserve"> promovido por el Ministerio </w:t>
      </w:r>
      <w:r>
        <w:lastRenderedPageBreak/>
        <w:t xml:space="preserve">de Gobernación y Desarrollo Territorial y en la Recomendación de Adjudicación de fecha quince de mayo dos mil diecisiete, emitida por el Comité de Evaluación de Ofertas del referido proceso, y suscrito por la Licenciada María del Carmen </w:t>
      </w:r>
      <w:proofErr w:type="spellStart"/>
      <w:r>
        <w:t>Nuñez</w:t>
      </w:r>
      <w:proofErr w:type="spellEnd"/>
      <w:r>
        <w:t xml:space="preserve"> Recinos, dándole cumplimiento al Acuerdo Número UNO, expedido por el Órgano Ejecutivo en el Ramo de Gobernación y Desarrollo Territorial, con fecha cuatro de enero de dos mil diecisiete; el siguiente Contrato de</w:t>
      </w:r>
      <w:r>
        <w:rPr>
          <w:rStyle w:val="CuerpodeltextoNegrita0"/>
        </w:rPr>
        <w:t xml:space="preserve"> "SERVICIO DE CONSULTORIA DE DISEÑO DE HERRAMIENTAS METODOLOGICAS QUE FACILITEN LA PLANIFICACION COORDINADA DE LOS GABINETES DE GESTION DEPARTAMENTAL TENIENDO EN CUENTA LAS PRIORIDADES DE LAS ORGANIZACIONES SOCIO-PRODUCTIVAS DEL TERRITORIO",</w:t>
      </w:r>
      <w:r>
        <w:t xml:space="preserve"> de conformidad a la Constitución de la República, a la LACAP, a su Reglamento y en especial a las obligaciones, condiciones, pactos y renuncias siguientes: </w:t>
      </w:r>
      <w:r>
        <w:rPr>
          <w:rStyle w:val="CuerpodeltextoNegrita1"/>
        </w:rPr>
        <w:t>CLÁUSULA PRIMERA: OBJETO Y ALCANCE DEL CONTRATO.</w:t>
      </w:r>
      <w:r>
        <w:t xml:space="preserve"> EL CONTRATISTA se compromete a prestar sus servicios de consultoría de diseño de herramientas metodológicas que faciliten la planificación coordinada de los gabinetes de gestión departamental teniendo en cuenta las prioridades de las organizaciones socio-productivas del territorio, debiendo realizar entre otras, las actividades siguientes: 1. Elaborar plan de trabajo y metodología para la realización de la consultoría, incluyendo un cronograma de actividades, cinco días calendario posterior a la fecha de la orden de inicio; 2. Diseño y desarrollo de siete talleres de evaluación de las herramientas metodológicas de planificación aplicadas a los Gabinetes de Gestión Departamental para el año dos mil diecisiete por la Dirección de Desarrollo Territorial; 3. Ajuste a las herramientas metodológicas para la planificación articulada de los Gabinetes de Gestión Departamental; 4. Diseño y desarrollo de catorce talleres para la validación de herramientas metodológicas para aplicar en la planificación articulada de los Gabinetes de Gestión Departamental; 5. Implementar prueba piloto de las herramientas metodológicas; 6. Desarrollar un taller de capacitación sobre el uso de las herramientas metodológicas a personal de la Dirección de Desarrollo Territorial y Gobernadores Departamentales.</w:t>
      </w:r>
      <w:r>
        <w:rPr>
          <w:rStyle w:val="CuerpodeltextoNegrita0"/>
        </w:rPr>
        <w:t xml:space="preserve"> Productos a presentar:</w:t>
      </w:r>
      <w:r>
        <w:t xml:space="preserve"> 1. Plan de trabajo de la consultoría; 2. Elaborar y presentar un informe de evaluación de las herramientas metodológicas de planificación aplicadas a los Gabinetes de Gestión Departamental para el año dos mil diecisiete por la Dirección de Desarrollo Territorial; 3. Documento que contenga las herramientas metodológicas válidas para la planificación coordinada del Gabinetes de Gestión Departamental; 4. Validar las herramientas metodológicas por medio de facilitar e implementar un ejercicio de planificación de un Gabinete de Gestión Departamental; 5. Hacer los ajustes necesarios a las herramientas metodológicas posteriores al ejercicio de validación; 6. Documento de informe de implementación del proceso de capacitación al personal de la Dirección de </w:t>
      </w:r>
      <w:r>
        <w:lastRenderedPageBreak/>
        <w:t xml:space="preserve">Desarrollo Territorial del MIGOBDT, Gobernadores y Gobernadoras propietarios y suplentes más una persona que ellos o ellas designen del personal de las Gobernaciones; 7. Un plan articulado de Gabinete de Gestión Departamental. Lo anterior, con el objeto de atender las necesidades de EL MINISTERIO, bajo los requerimientos señalados en las Especificaciones Técnicas del Servicio y en la Oferta Técnico-Económica presentada por EL CONTRATISTA, quien responderá de acuerdo a los términos y condiciones establecidos en el presente instrumento, especialmente por la calidad del servicio que brinda, así como de las consecuencias por las omisiones o acciones incorrectas en la ejecución del presente Contrato, y corresponderá al Administrador del Contrato, de conformidad a lo establecido en el Art. 82 Bis de la Ley de Adquisiciones y Contrataciones de la Administración Pública, velar por el fiel cumplimiento de las obligaciones emanadas del presente Contrato. </w:t>
      </w:r>
      <w:r>
        <w:rPr>
          <w:rStyle w:val="CuerpodeltextoNegrita2"/>
        </w:rPr>
        <w:t>CLÁUSULA SEGUNDA: DOCUMENTOS CONTRACTUALES.</w:t>
      </w:r>
      <w:r>
        <w:t xml:space="preserve"> Los documentos a utilizar en el proceso de esta contratación se denominarán Documentos Contractuales, que formarán parte integral del Contrato, con igual fuerza obligatoria que éste y serán: a) Los Términos de Referencia; b) La Oferta Técnica y Económica de EL CONTRATISTA y sus documentos; c) El Acta de Adjudicación con fecha quince de mayo de dos mil diecisiete; d) El Acuerdo de Administrador del Contrato número TREINTA Y CUATRO, emitido por el Órgano Ejecutivo en el Ramo de Gobernación y Desarrollo Territorial con fecha siete de junio de dos mil diecisiete; e) La Garantía de Cumplimiento de Contrato; y f) Cualquier otro documento que emanare del presente Instrumento.</w:t>
      </w:r>
      <w:r>
        <w:rPr>
          <w:rStyle w:val="CuerpodeltextoNegrita3"/>
        </w:rPr>
        <w:t xml:space="preserve"> </w:t>
      </w:r>
      <w:r>
        <w:rPr>
          <w:rStyle w:val="CuerpodeltextoNegrita2"/>
        </w:rPr>
        <w:t xml:space="preserve">CLÁUSULA TERCERA: PLAZO, FORMA Y LUGAR DE ENTREGA. </w:t>
      </w:r>
      <w:r>
        <w:rPr>
          <w:rStyle w:val="CuerpodeltextoNegrita3"/>
        </w:rPr>
        <w:t>PLAZO DE VIGENCIA Y DE PRESTACION DEL SERVICIO:</w:t>
      </w:r>
      <w:r>
        <w:t xml:space="preserve"> El plazo para prestar el Servicio de Consultoría objeto del presente contrato, será de Cuarenta y cinco días hábiles, contado a partir de la emisión de la Orden de Inicio girada por el Administrador del Contrato. La vigencia del presente contrato será a partir de la legalización del mismo hasta el treinta y uno de diciembre de dos mil diecisiete, obligándose las partes a cumplir con las condiciones establecidas en el mismo y demás documentos contractuales.</w:t>
      </w:r>
      <w:r>
        <w:rPr>
          <w:rStyle w:val="CuerpodeltextoNegrita3"/>
        </w:rPr>
        <w:t xml:space="preserve"> FORMA DE PRESTACIÓN DEL SERVICIO:</w:t>
      </w:r>
      <w:r>
        <w:t xml:space="preserve"> El servicio de Consultoría objeto del presente contrato, se hará mediante la presentación de los productos requeridos de acuerdo a calendarización, de forma impresa, en original y copia y firmados por la consultora, con el visto bueno de la Directora de Desarrollo Territorial y aprobación de la unidad ejecutora del proyecto, además de sus respectivos respaldos digitales, según lo establecido en los Términos de Referencia y Oferta Técnica económica del CONTRATISTA.</w:t>
      </w:r>
      <w:r>
        <w:rPr>
          <w:rStyle w:val="CuerpodeltextoNegrita4"/>
        </w:rPr>
        <w:t xml:space="preserve"> LUGAR DE PRESTACIÓN DEL SERVICIO:</w:t>
      </w:r>
      <w:r>
        <w:t xml:space="preserve"> El servicio de consultoría deberá realizarse en el Ministerio de Gobernación y Desarrollo Territorial, ubicado en final quince avenida norte y novena calle poniente, centro de Gobierno, San Salvador, o en el lugar establecido por la </w:t>
      </w:r>
      <w:r>
        <w:lastRenderedPageBreak/>
        <w:t xml:space="preserve">Administradora del contrato; obligándose las partes a cumplir con todas las condiciones establecidas en este Contrato y demás documentos contractuales. </w:t>
      </w:r>
      <w:r>
        <w:rPr>
          <w:rStyle w:val="CuerpodeltextoNegrita5"/>
        </w:rPr>
        <w:t>CLÁUSULA CUARTA: PRECIO Y FORMA DE PAGO.</w:t>
      </w:r>
      <w:r>
        <w:t xml:space="preserve"> El monto total por el Servicio de Consultoría objeto del presente contrato, es por la cantidad de</w:t>
      </w:r>
      <w:r>
        <w:rPr>
          <w:rStyle w:val="CuerpodeltextoNegrita4"/>
        </w:rPr>
        <w:t xml:space="preserve"> DIECINUEVE MIL CIEN DOLARES DE LOS ESTADOS UNIDOS DE AMERICA (US $19,100.00),</w:t>
      </w:r>
      <w:r>
        <w:t xml:space="preserve"> valor que incluye el Impuesto a la Transferencia de Bienes Muebles y a la Prestación de Servicios, debiendo realizarse tres pagos parciales de acuerdo al siguiente detalle: PRIMER PAGO: treinta por ciento contra entrega de plan de trabajo, previa emisión de la Orden de Inicio emitida por el Administrador del contrato; SEGUNDO PAGO: Treinta por ciento contra entrega de evaluación de herramientas metodológicas dos mil diecisiete y propuesta de nuevas herramientas metodológicas; TERCER PAGO: cuarenta por ciento contra entrega del producto final con una carta de recibido a satisfacción. EL MINISTERIO, a través de la Unidad Financiera Institucional, efectuará los pagos respectivos, conforme a la prestación del servicio por parte de EL CONTRATISTA y previa presentación de Factura de Consumidor Final o Comprobante de Crédito Fiscal (según indique la Unidad Financiera Institucional y el Acta de Recepción firmada y sellada por el Administrador del Contrato, el Encargado de Bodega (si aplicare) y el representante de EL CONTRATISTA, de conformidad a lo establecido en los Términos de Referencia. El precio anteriormente establecido incluye el trece por ciento (13%) del Impuesto a la Transferencia de Bienes Muebles y a la Prestación de Servicios. Asimismo dicho precio queda sujeto a cualquier impuesto, relativo a la prestación de servicios y/o adquisición de bienes muebles, vigente durante la ejecución contractual. Por medio de Resoluciones Números 12301- 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6"/>
        </w:rPr>
        <w:t xml:space="preserve"> </w:t>
      </w:r>
      <w:r>
        <w:rPr>
          <w:rStyle w:val="CuerpodeltextoNegrita7"/>
        </w:rPr>
        <w:t>CLÁUSULA QUINTA: PROVISIÓN DE PAGO.</w:t>
      </w:r>
      <w:r>
        <w:t xml:space="preserve"> El gasto indicado será cancelado con cargo a la disponibilidad presupuestaria certificada por la Unidad Financiera Institucional, para el presente proceso, en el correspondiente requerimiento.</w:t>
      </w:r>
      <w:r>
        <w:rPr>
          <w:rStyle w:val="CuerpodeltextoNegrita6"/>
        </w:rPr>
        <w:t xml:space="preserve"> </w:t>
      </w:r>
      <w:r>
        <w:rPr>
          <w:rStyle w:val="CuerpodeltextoNegrita7"/>
        </w:rPr>
        <w:t>CLÁUSULA SEXTA: OBLIGACIONES DE EL CONTRATISTA.</w:t>
      </w:r>
      <w:r>
        <w:t xml:space="preserve"> EL CONTRATISTA en forma expresa y terminante se obliga a proporcionar el servicio objeto del presente Contrato, de acuerdo a lo consignado en este Instrumento, debiendo estar </w:t>
      </w:r>
      <w:r>
        <w:lastRenderedPageBreak/>
        <w:t>conforme a lo establecido en su Oferta Técnico-Económica. EL CONTRATISTA se obliga a Presentar plan de trabajo y metodología para la realización de la consultoría, incluyendo un cronograma de actividades, cinco días calendario posterior a la fecha de la orden de inicio; 2. Movilizarse con sus propios recursos a cualquiera de las catorce Gobernaciones Departamentales, ubicadas en las cabeceras departamentales; 3. Proveer refrigerios (no almuerzos) durante las reuniones de los Gabinetes de Gestión Departamental; 4. Proveer papelería, consumibles y equipo informático para la realización de los talleres y la consultoría; 5. Sistematizar información recopilada durante la consultoría; 6. Entrega del producto final en la fecha estipulada en el presente contrato; 7. Respetar el orden de los productos de la consultoría detallados en la cláusula primera de este contrato; 8. Entrega en físico y digital del producto; 9. Planificar, organizar y realizar los talleres en los territorios para el alcance de los productos de la consultoría coordinados con el equipo técnico regional; 10. Planificar, solicitar y realizar reuniones de coordinación con la Dirección de Desarrollo Territorial y Viceministra; 11. Cumplir con las actividades y productos acordados según lo establecido en los Términos de Referencia, plan de trabajo y el presente contrato.</w:t>
      </w:r>
      <w:r>
        <w:rPr>
          <w:rStyle w:val="CuerpodeltextoNegrita6"/>
        </w:rPr>
        <w:t xml:space="preserve"> </w:t>
      </w:r>
      <w:r>
        <w:rPr>
          <w:rStyle w:val="CuerpodeltextoNegrita7"/>
        </w:rPr>
        <w:t>CLÁUSULA SÉPTIMA: COMPROMISOS DE EL MINISTERIO Y PLAZO DE RECLAMOS</w:t>
      </w:r>
      <w:r>
        <w:rPr>
          <w:rStyle w:val="CuerpodeltextoNegrita6"/>
        </w:rPr>
        <w:t>.</w:t>
      </w:r>
      <w:r>
        <w:t xml:space="preserve"> EL MINISTERIO se obliga a proporcionar a EL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del Administrador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w:t>
      </w:r>
      <w:r>
        <w:rPr>
          <w:rStyle w:val="CuerpodeltextoNegrita8"/>
        </w:rPr>
        <w:t xml:space="preserve"> </w:t>
      </w:r>
      <w:r>
        <w:rPr>
          <w:rStyle w:val="CuerpodeltextoNegrita9"/>
        </w:rPr>
        <w:t xml:space="preserve">CLÁUSULA OCTAVA: GARANTÍA DE CUMPLIMIENTO DE CONTRATO. </w:t>
      </w:r>
      <w:r>
        <w:t>Dentro de los diez (10) días hábiles siguientes a la notificación de la respectiva legalización del Contrato, EL CONTRATISTA deberá presentar a favor de EL MINISTERIO, en la Unidad de Adquisiciones y Contrataciones Institucional (UACI), del Ministerio de Gobernación y Desarrollo Territorial, la Garantía de Cumplimiento de Contrato, por un valor de</w:t>
      </w:r>
      <w:r>
        <w:rPr>
          <w:rStyle w:val="CuerpodeltextoNegrita8"/>
        </w:rPr>
        <w:t xml:space="preserve"> MIL NOVECIENTOS DIEZ DÓLARES DE LOS ESTADOS UNIDOS DE AMÉRICA (US$1,910.00),</w:t>
      </w:r>
      <w:r>
        <w:t xml:space="preserve"> equivalente al diez por ciento (10%) del </w:t>
      </w:r>
      <w:r>
        <w:lastRenderedPageBreak/>
        <w:t>valor total del Contrato, para asegurar el cumplimiento de todas las obligaciones emanadas del mismo, la cual deberá estar vigente a partir de la fecha de legalización del contrato hasta un mínimo de treinta (30) días posteriores a la fecha de la finalización del Contrato y de sus prórrogas, si las hubieren.</w:t>
      </w:r>
      <w:r>
        <w:rPr>
          <w:rStyle w:val="CuerpodeltextoNegrita8"/>
        </w:rPr>
        <w:t xml:space="preserve"> </w:t>
      </w:r>
      <w:r>
        <w:rPr>
          <w:rStyle w:val="CuerpodeltextoNegrita9"/>
        </w:rPr>
        <w:t>CLÁUSULA NOVENA: ADMINISTRADORES DEL CONTRATO:</w:t>
      </w:r>
      <w:r>
        <w:t xml:space="preserve"> La administración del presente Contrato según Acuerdo Número TREINTA Y CUATRO, emitido por el Órgano Ejecutivo en el Ramo de Gobernación y Desarrollo Territorial, con fecha siete de junio de dos mil diecisiete, de Nombramiento de Administrador del Contrato, estará a cargo de la Licenciada</w:t>
      </w:r>
      <w:r>
        <w:rPr>
          <w:rStyle w:val="CuerpodeltextoNegrita8"/>
        </w:rPr>
        <w:t xml:space="preserve"> BLANCA MIRNA BENAVIDES,</w:t>
      </w:r>
      <w:r>
        <w:t xml:space="preserve"> Directora de Desarrollo Territorial, quien será la responsable de verificar la buena marcha y el estricto cumplimiento de las obligaciones emanadas del presente Contrato, con base a lo establecido en el Art. 82 Bis de la Ley de Adquisiciones y Contrataciones de la Administración Pública, Art. 74 de su Reglamento, y conforme a los Documentos Contractuales que emanan de la presente contratación, así como a la legislación pertinente, teniendo entre otras, como principales obligaciones las siguientes:</w:t>
      </w:r>
      <w:r>
        <w:rPr>
          <w:rStyle w:val="CuerpodeltextoNegrita8"/>
        </w:rPr>
        <w:t xml:space="preserve"> a)</w:t>
      </w:r>
      <w:r>
        <w:t xml:space="preserve"> Verificar el cumplimiento de las cláusulas contractuales;</w:t>
      </w:r>
      <w:r>
        <w:rPr>
          <w:rStyle w:val="CuerpodeltextoNegrita8"/>
        </w:rPr>
        <w:t xml:space="preserve"> b)</w:t>
      </w:r>
      <w:r>
        <w:t xml:space="preserve"> Elaborar oportunamente los informes de avance de la ejecución del Contrato e informar de ello tanto a la UACI como a la Unidad responsable de efectuar los pagos o en su defecto reportar los incumplimientos;</w:t>
      </w:r>
      <w:r>
        <w:rPr>
          <w:rStyle w:val="CuerpodeltextoNegrita8"/>
        </w:rPr>
        <w:t xml:space="preserve"> c)</w:t>
      </w:r>
      <w:r>
        <w:t xml:space="preserve"> Informar a la UACI, a efecto de que se gestione el informe al Titular para iniciar el procedimiento de aplicación de las sanciones al contratista, por los incumplimientos de sus obligaciones;</w:t>
      </w:r>
      <w:r>
        <w:rPr>
          <w:rStyle w:val="CuerpodeltextoNegrita8"/>
        </w:rPr>
        <w:t xml:space="preserve"> d)</w:t>
      </w:r>
      <w:r>
        <w:t xml:space="preserve"> Conformar y mantener actualizado el expediente del seguimiento de la ejecución del Contrato, de tal manera que esté conformado por el conjunto de documentos necesarios que sustenten las acciones realizadas desde que se emite la Orden de Inicio hasta la recepción final;</w:t>
      </w:r>
      <w:r>
        <w:rPr>
          <w:rStyle w:val="CuerpodeltextoNegrita8"/>
        </w:rPr>
        <w:t xml:space="preserve"> e)</w:t>
      </w:r>
      <w:r>
        <w:t xml:space="preserve"> Elaborar y suscribir conjuntamente con el contratista, las actas de recepción total o parcial de las adquisiciones o contrataciones de obras, bienes y servicios, de conformidad a lo establecido en el Reglamento de la LACAP;</w:t>
      </w:r>
      <w:r>
        <w:rPr>
          <w:rStyle w:val="CuerpodeltextoNegritaa"/>
        </w:rPr>
        <w:t xml:space="preserve"> f)</w:t>
      </w:r>
      <w:r>
        <w:t xml:space="preserve"> Remitir a la UACI en un plazo máximo de tres días hábiles posteriores a la recepción de las obras, bienes y servicios, en cuyos contratos no existan incumplimientos, el acta respectiva; a fin de que ésta proceda a devolver al contratista las garantías correspondientes;</w:t>
      </w:r>
      <w:r>
        <w:rPr>
          <w:rStyle w:val="CuerpodeltextoNegritaa"/>
        </w:rPr>
        <w:t xml:space="preserve"> g) </w:t>
      </w:r>
      <w:r>
        <w:t>Gestionar ante la UACI las órdenes de cambio o modificaciones a los contratos, una vez identificada tal necesidad;</w:t>
      </w:r>
      <w:r>
        <w:rPr>
          <w:rStyle w:val="CuerpodeltextoNegritaa"/>
        </w:rPr>
        <w:t xml:space="preserve"> h)</w:t>
      </w:r>
      <w:r>
        <w:t xml:space="preserve">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w:t>
      </w:r>
      <w:r>
        <w:rPr>
          <w:rStyle w:val="CuerpodeltextoNegritaa"/>
        </w:rPr>
        <w:t xml:space="preserve"> i)</w:t>
      </w:r>
      <w:r>
        <w:t xml:space="preserve"> Cualquier otra responsabilidad que establezca la LACAP, su Reglamento y el Contrato.</w:t>
      </w:r>
      <w:r>
        <w:rPr>
          <w:rStyle w:val="CuerpodeltextoNegritaa"/>
        </w:rPr>
        <w:t xml:space="preserve"> </w:t>
      </w:r>
      <w:r>
        <w:rPr>
          <w:rStyle w:val="CuerpodeltextoNegritab"/>
        </w:rPr>
        <w:t xml:space="preserve">CLÁUSULA DÉCIMA: </w:t>
      </w:r>
      <w:r>
        <w:rPr>
          <w:rStyle w:val="CuerpodeltextoNegritab"/>
        </w:rPr>
        <w:lastRenderedPageBreak/>
        <w:t>SANCIONES.</w:t>
      </w:r>
      <w:r>
        <w:t xml:space="preserve"> En caso de incumplimiento de las obligaciones emanadas del presente Contrato, las partes expresamente se someten a las sanciones que la Ley o que el presente Contrato señale, siempre y cuando se siga el debido proceso. Si EL CONTRATISTA incumpliere o incurriese en mora en el cumplimiento de sus obligaciones contractuales por causas imputables a él mismo,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CONTRATISTA por su incumplimiento.</w:t>
      </w:r>
      <w:r>
        <w:rPr>
          <w:rStyle w:val="CuerpodeltextoNegritaa"/>
        </w:rPr>
        <w:t xml:space="preserve"> </w:t>
      </w:r>
      <w:r>
        <w:rPr>
          <w:rStyle w:val="CuerpodeltextoNegritab"/>
        </w:rPr>
        <w:t>CLÁUSULA DÉCIMA PRIMERA: MODIFICACIÓN Y PRÓRROGA.</w:t>
      </w:r>
      <w:r>
        <w:t xml:space="preserve"> 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w:t>
      </w:r>
      <w:r>
        <w:rPr>
          <w:rStyle w:val="CuerpodeltextoNegritaa"/>
        </w:rPr>
        <w:t xml:space="preserve"> </w:t>
      </w:r>
      <w:r>
        <w:rPr>
          <w:rStyle w:val="CuerpodeltextoNegritab"/>
        </w:rPr>
        <w:t>CLÁUSULA DÉCIMA SEGUNDA: CASO FORTUITO O FUERZA MAYOR.</w:t>
      </w:r>
      <w:r>
        <w:t xml:space="preserve"> Si acontecieren actos de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toda vez que lo haga por escrito dentro del plazo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 formalizada a través de una Resolución, ésta operará siempre que el plazo de la garantía que se haya constituido a favor de EL MINISTERIO asegure las obligaciones contraídas.</w:t>
      </w:r>
      <w:r>
        <w:rPr>
          <w:rStyle w:val="CuerpodeltextoNegritac"/>
        </w:rPr>
        <w:t xml:space="preserve"> </w:t>
      </w:r>
      <w:r>
        <w:rPr>
          <w:rStyle w:val="CuerpodeltextoNegritad"/>
        </w:rPr>
        <w:t>CLÁUSULA DÉCIMA TERCERA: CESIÓN.</w:t>
      </w:r>
      <w:r>
        <w:t xml:space="preserve"> Queda expresamente prohibido a EL CONTRATISTA traspasar o ceder a cualquier título los derechos y obligaciones que emanan del </w:t>
      </w:r>
      <w:r>
        <w:lastRenderedPageBreak/>
        <w:t>presente Contrato. La transgresión de esta disposición dará lugar a la Caducidad del Contrato, procediéndose además de acuerdo a lo establecido en el inciso segundo del Art. 100 de la LACAP.</w:t>
      </w:r>
      <w:r>
        <w:rPr>
          <w:rStyle w:val="CuerpodeltextoNegritac"/>
        </w:rPr>
        <w:t xml:space="preserve"> </w:t>
      </w:r>
      <w:r>
        <w:rPr>
          <w:rStyle w:val="CuerpodeltextoNegritad"/>
        </w:rPr>
        <w:t>CLÁUSULA DÉCIMA CUARTA: INTERPRETACIÓN DEL CONTRATO.</w:t>
      </w:r>
      <w:r>
        <w:t xml:space="preserve"> 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w:t>
      </w:r>
      <w:r>
        <w:rPr>
          <w:rStyle w:val="CuerpodeltextoNegritac"/>
        </w:rPr>
        <w:t xml:space="preserve"> </w:t>
      </w:r>
      <w:r>
        <w:rPr>
          <w:rStyle w:val="CuerpodeltextoNegritad"/>
        </w:rPr>
        <w:t>CLÁUSULA DÉCIMA QUINTA: SOLUCIÓN DE CONFLICTOS.</w:t>
      </w:r>
      <w:r>
        <w:t xml:space="preserve"> Toda duda, discrepancia o conflicto que surgiere entre las partes durante la ejecución de este Contrato se resolverá de acuerdo a lo establecido en el Título VIII de la LACAP.</w:t>
      </w:r>
      <w:r>
        <w:rPr>
          <w:rStyle w:val="CuerpodeltextoNegritac"/>
        </w:rPr>
        <w:t xml:space="preserve"> </w:t>
      </w:r>
      <w:r>
        <w:rPr>
          <w:rStyle w:val="CuerpodeltextoNegritad"/>
        </w:rPr>
        <w:t>CLÁUSULA DÉCIMA SEXTA: TERMINACIÓN DEL CONTRATO.</w:t>
      </w:r>
      <w:r>
        <w:t xml:space="preserve"> EL MINISTERIO podrá dar por terminado el Contrato sin responsabilidad alguna de su parte: a) Por las causales establecidas en las letras a) y b) del Art. 94 de la LACAP; b) Cuando EL CONTRATISTA entregue el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MINISTERIO, se procederá de acuerdo a lo establecido en el</w:t>
      </w:r>
    </w:p>
    <w:p w:rsidR="00901EE9" w:rsidRDefault="00D72ADA">
      <w:pPr>
        <w:pStyle w:val="Cuerpodeltexto0"/>
        <w:shd w:val="clear" w:color="auto" w:fill="auto"/>
        <w:spacing w:before="0" w:after="1015" w:line="408" w:lineRule="exact"/>
        <w:ind w:right="20"/>
      </w:pPr>
      <w:r>
        <w:rPr>
          <w:lang w:val="it"/>
        </w:rPr>
        <w:t xml:space="preserve">Art. </w:t>
      </w:r>
      <w:r>
        <w:t xml:space="preserve">100 </w:t>
      </w:r>
      <w:r>
        <w:rPr>
          <w:lang w:val="it"/>
        </w:rPr>
        <w:t xml:space="preserve">de la LACAP. </w:t>
      </w:r>
      <w:r>
        <w:t xml:space="preserve">También </w:t>
      </w:r>
      <w:r>
        <w:rPr>
          <w:lang w:val="it"/>
        </w:rPr>
        <w:t xml:space="preserve">se </w:t>
      </w:r>
      <w:r>
        <w:t xml:space="preserve">aplicarán </w:t>
      </w:r>
      <w:r>
        <w:rPr>
          <w:lang w:val="it"/>
        </w:rPr>
        <w:t xml:space="preserve">al presente </w:t>
      </w:r>
      <w:r>
        <w:t xml:space="preserve">Contrato las demás causales </w:t>
      </w:r>
      <w:r>
        <w:rPr>
          <w:lang w:val="it"/>
        </w:rPr>
        <w:t xml:space="preserve">de </w:t>
      </w:r>
      <w:r>
        <w:t xml:space="preserve">extinción establecidas en el </w:t>
      </w:r>
      <w:r>
        <w:rPr>
          <w:lang w:val="it"/>
        </w:rPr>
        <w:t xml:space="preserve">Art. </w:t>
      </w:r>
      <w:r>
        <w:t>92 y siguientes de la LACAP.</w:t>
      </w:r>
      <w:r>
        <w:rPr>
          <w:rStyle w:val="CuerpodeltextoNegritae"/>
        </w:rPr>
        <w:t xml:space="preserve"> </w:t>
      </w:r>
      <w:r>
        <w:rPr>
          <w:rStyle w:val="CuerpodeltextoNegritaf"/>
        </w:rPr>
        <w:t>CLÁUSULA DÉCIMA SÉPTIMA: LEGISLACIÓN APLICABLE.</w:t>
      </w:r>
      <w:r>
        <w:t xml:space="preserve"> Las partes se someten a la legislación vigente de la República de El Salvador.</w:t>
      </w:r>
      <w:r>
        <w:rPr>
          <w:rStyle w:val="CuerpodeltextoNegritae"/>
        </w:rPr>
        <w:t xml:space="preserve"> </w:t>
      </w:r>
      <w:r>
        <w:rPr>
          <w:rStyle w:val="CuerpodeltextoNegritaf"/>
        </w:rPr>
        <w:t>CLAUSULA DECIMA OCTAVA: CONDICIONES DE PREVENCION Y ERRADICACION DEL TRABAJO INFANTIL</w:t>
      </w:r>
      <w:r>
        <w:rPr>
          <w:rStyle w:val="CuerpodeltextoNegritae"/>
        </w:rPr>
        <w:t>:</w:t>
      </w:r>
      <w:r>
        <w:t xml:space="preserve"> Si durante la ejecución del contrato se comprobare por la Dirección General de Inspección de Trabajo del Ministerio de Trabajo y Previsión Social, incumplimiento por parte de(l) (la) contratista a la normativa que </w:t>
      </w:r>
      <w:proofErr w:type="spellStart"/>
      <w:r>
        <w:t>prohibe</w:t>
      </w:r>
      <w:proofErr w:type="spellEnd"/>
      <w:r>
        <w:t xml:space="preserve"> el trabajo infantil y de protección de la persona adolescente trabajadora, se deberá tramitar el procedimiento sancionatorio que dispone el </w:t>
      </w:r>
      <w:proofErr w:type="spellStart"/>
      <w:r>
        <w:t>articulo</w:t>
      </w:r>
      <w:proofErr w:type="spellEnd"/>
      <w:r>
        <w:t xml:space="preserve"> 160 de la LACAP para determinar el cometimiento o no durante la ejecución del contrato de la conducta tipificada como causal de inhabilitación en el </w:t>
      </w:r>
      <w:proofErr w:type="spellStart"/>
      <w:r>
        <w:t>articulo</w:t>
      </w:r>
      <w:proofErr w:type="spellEnd"/>
      <w:r>
        <w:t xml:space="preserve">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w:t>
      </w:r>
      <w:r>
        <w:lastRenderedPageBreak/>
        <w:t>procedimiento sancionatorio y en éste último caso deberá finalizar el procedimiento para conocer la resolución final</w:t>
      </w:r>
      <w:r>
        <w:rPr>
          <w:rStyle w:val="CuerpodeltextoNegritae"/>
        </w:rPr>
        <w:t xml:space="preserve"> </w:t>
      </w:r>
      <w:r>
        <w:rPr>
          <w:rStyle w:val="CuerpodeltextoNegritaf"/>
        </w:rPr>
        <w:t>CLÁUSULA DÉCIMA NOVENA: NOTIFICACIONES.</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EL CONTRATISTA, </w:t>
      </w:r>
      <w:r w:rsidR="008D7625">
        <w:t>-------------------------------------------</w:t>
      </w:r>
      <w:bookmarkStart w:id="0" w:name="_GoBack"/>
      <w:bookmarkEnd w:id="0"/>
      <w:r>
        <w:t xml:space="preserve">. En fe de lo cual firmamos el presente Contrato, en la ciudad de </w:t>
      </w:r>
      <w:r>
        <w:rPr>
          <w:lang w:val="fr"/>
        </w:rPr>
        <w:t xml:space="preserve">San </w:t>
      </w:r>
      <w:r>
        <w:t xml:space="preserve">Salvador, a los doce </w:t>
      </w:r>
      <w:proofErr w:type="spellStart"/>
      <w:r>
        <w:t>dias</w:t>
      </w:r>
      <w:proofErr w:type="spellEnd"/>
      <w:r>
        <w:t xml:space="preserve"> del mes de junio de dos mil diecisiete.</w:t>
      </w:r>
    </w:p>
    <w:p w:rsidR="00901EE9" w:rsidRDefault="00D72ADA">
      <w:pPr>
        <w:pStyle w:val="Ttulo10"/>
        <w:keepNext/>
        <w:keepLines/>
        <w:shd w:val="clear" w:color="auto" w:fill="auto"/>
        <w:spacing w:before="0"/>
        <w:ind w:left="1220" w:right="4260"/>
      </w:pPr>
      <w:bookmarkStart w:id="1" w:name="bookmark0"/>
      <w:r>
        <w:t>EL MINISTERIO</w:t>
      </w:r>
      <w:bookmarkEnd w:id="1"/>
    </w:p>
    <w:p w:rsidR="00AA5C52" w:rsidRDefault="00AA5C52">
      <w:pPr>
        <w:pStyle w:val="Ttulo10"/>
        <w:keepNext/>
        <w:keepLines/>
        <w:shd w:val="clear" w:color="auto" w:fill="auto"/>
        <w:spacing w:before="0" w:after="0"/>
        <w:ind w:left="6400" w:right="20" w:hanging="1180"/>
      </w:pPr>
      <w:bookmarkStart w:id="2" w:name="bookmark1"/>
    </w:p>
    <w:p w:rsidR="00901EE9" w:rsidRDefault="00D72ADA">
      <w:pPr>
        <w:pStyle w:val="Ttulo10"/>
        <w:keepNext/>
        <w:keepLines/>
        <w:shd w:val="clear" w:color="auto" w:fill="auto"/>
        <w:spacing w:before="0" w:after="0"/>
        <w:ind w:left="6400" w:right="20" w:hanging="1180"/>
      </w:pPr>
      <w:r>
        <w:t>EL CONTRATISTA</w:t>
      </w:r>
      <w:bookmarkEnd w:id="2"/>
    </w:p>
    <w:sectPr w:rsidR="00901EE9">
      <w:footerReference w:type="default" r:id="rId8"/>
      <w:type w:val="continuous"/>
      <w:pgSz w:w="11905" w:h="16837"/>
      <w:pgMar w:top="1684" w:right="1130" w:bottom="1859" w:left="14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58A" w:rsidRDefault="0031158A">
      <w:r>
        <w:separator/>
      </w:r>
    </w:p>
  </w:endnote>
  <w:endnote w:type="continuationSeparator" w:id="0">
    <w:p w:rsidR="0031158A" w:rsidRDefault="0031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E9" w:rsidRDefault="00D72ADA">
    <w:pPr>
      <w:pStyle w:val="Encabezamientoopiedepgina0"/>
      <w:framePr w:w="12245" w:h="154" w:wrap="none" w:vAnchor="text" w:hAnchor="page" w:x="-169" w:y="-1707"/>
      <w:shd w:val="clear" w:color="auto" w:fill="auto"/>
      <w:ind w:left="10838"/>
    </w:pPr>
    <w:r>
      <w:fldChar w:fldCharType="begin"/>
    </w:r>
    <w:r>
      <w:instrText xml:space="preserve"> PAGE \* MERGEFORMAT </w:instrText>
    </w:r>
    <w:r>
      <w:fldChar w:fldCharType="separate"/>
    </w:r>
    <w:r w:rsidR="008D7625" w:rsidRPr="008D7625">
      <w:rPr>
        <w:rStyle w:val="EncabezamientoopiedepginaPalatinoLinotype"/>
        <w:noProof/>
      </w:rPr>
      <w:t>9</w:t>
    </w:r>
    <w:r>
      <w:rPr>
        <w:rStyle w:val="EncabezamientoopiedepginaPalatinoLinotyp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58A" w:rsidRDefault="0031158A"/>
  </w:footnote>
  <w:footnote w:type="continuationSeparator" w:id="0">
    <w:p w:rsidR="0031158A" w:rsidRDefault="0031158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E9"/>
    <w:rsid w:val="00190A97"/>
    <w:rsid w:val="001E3BD0"/>
    <w:rsid w:val="0031158A"/>
    <w:rsid w:val="005C4778"/>
    <w:rsid w:val="008D7625"/>
    <w:rsid w:val="00901EE9"/>
    <w:rsid w:val="00A54137"/>
    <w:rsid w:val="00AA5C52"/>
    <w:rsid w:val="00D72A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
    <w:name w:val="Leyenda de la imagen_"/>
    <w:basedOn w:val="Fuentedeprrafopredeter"/>
    <w:link w:val="Leyendadelaimagen0"/>
    <w:rPr>
      <w:rFonts w:ascii="Aharoni" w:eastAsia="Aharoni" w:hAnsi="Aharoni" w:cs="Aharoni"/>
      <w:b w:val="0"/>
      <w:bCs w:val="0"/>
      <w:i w:val="0"/>
      <w:iCs w:val="0"/>
      <w:smallCaps w:val="0"/>
      <w:strike w:val="0"/>
      <w:spacing w:val="0"/>
      <w:sz w:val="8"/>
      <w:szCs w:val="8"/>
    </w:rPr>
  </w:style>
  <w:style w:type="character" w:customStyle="1" w:styleId="Leyendadelaimagen1">
    <w:name w:val="Leyenda de la imagen"/>
    <w:basedOn w:val="Leyendadelaimagen"/>
    <w:rPr>
      <w:rFonts w:ascii="Aharoni" w:eastAsia="Aharoni" w:hAnsi="Aharoni" w:cs="Aharoni"/>
      <w:b w:val="0"/>
      <w:bCs w:val="0"/>
      <w:i w:val="0"/>
      <w:iCs w:val="0"/>
      <w:smallCaps w:val="0"/>
      <w:strike w:val="0"/>
      <w:spacing w:val="0"/>
      <w:sz w:val="8"/>
      <w:szCs w:val="8"/>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0.5 pto"/>
    <w:basedOn w:val="Encabezamientoopiedepgina"/>
    <w:rPr>
      <w:rFonts w:ascii="Palatino Linotype" w:eastAsia="Palatino Linotype" w:hAnsi="Palatino Linotype" w:cs="Palatino Linotype"/>
      <w:b w:val="0"/>
      <w:bCs w:val="0"/>
      <w:i w:val="0"/>
      <w:iCs w:val="0"/>
      <w:smallCaps w:val="0"/>
      <w:strike w:val="0"/>
      <w:sz w:val="21"/>
      <w:szCs w:val="21"/>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21"/>
      <w:szCs w:val="21"/>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1"/>
      <w:szCs w:val="21"/>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c">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d">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e">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f">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pacing w:val="0"/>
      <w:sz w:val="21"/>
      <w:szCs w:val="21"/>
    </w:rPr>
  </w:style>
  <w:style w:type="paragraph" w:customStyle="1" w:styleId="Leyendadelaimagen0">
    <w:name w:val="Leyenda de la imagen"/>
    <w:basedOn w:val="Normal"/>
    <w:link w:val="Leyendadelaimagen"/>
    <w:pPr>
      <w:shd w:val="clear" w:color="auto" w:fill="FFFFFF"/>
      <w:spacing w:line="0" w:lineRule="atLeast"/>
    </w:pPr>
    <w:rPr>
      <w:rFonts w:ascii="Aharoni" w:eastAsia="Aharoni" w:hAnsi="Aharoni" w:cs="Aharoni"/>
      <w:sz w:val="8"/>
      <w:szCs w:val="8"/>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pPr>
      <w:shd w:val="clear" w:color="auto" w:fill="FFFFFF"/>
      <w:spacing w:before="120" w:line="264" w:lineRule="exact"/>
      <w:jc w:val="center"/>
    </w:pPr>
    <w:rPr>
      <w:rFonts w:ascii="Palatino Linotype" w:eastAsia="Palatino Linotype" w:hAnsi="Palatino Linotype" w:cs="Palatino Linotype"/>
      <w:b/>
      <w:bCs/>
      <w:sz w:val="21"/>
      <w:szCs w:val="21"/>
    </w:rPr>
  </w:style>
  <w:style w:type="paragraph" w:customStyle="1" w:styleId="Cuerpodeltexto0">
    <w:name w:val="Cuerpo del texto"/>
    <w:basedOn w:val="Normal"/>
    <w:link w:val="Cuerpodeltexto"/>
    <w:pPr>
      <w:shd w:val="clear" w:color="auto" w:fill="FFFFFF"/>
      <w:spacing w:before="240" w:line="403" w:lineRule="exact"/>
      <w:jc w:val="both"/>
    </w:pPr>
    <w:rPr>
      <w:rFonts w:ascii="Palatino Linotype" w:eastAsia="Palatino Linotype" w:hAnsi="Palatino Linotype" w:cs="Palatino Linotype"/>
      <w:sz w:val="21"/>
      <w:szCs w:val="21"/>
    </w:rPr>
  </w:style>
  <w:style w:type="paragraph" w:customStyle="1" w:styleId="Ttulo10">
    <w:name w:val="Título #1"/>
    <w:basedOn w:val="Normal"/>
    <w:link w:val="Ttulo1"/>
    <w:pPr>
      <w:shd w:val="clear" w:color="auto" w:fill="FFFFFF"/>
      <w:spacing w:before="900" w:after="1020" w:line="264" w:lineRule="exact"/>
      <w:ind w:hanging="1220"/>
      <w:outlineLvl w:val="0"/>
    </w:pPr>
    <w:rPr>
      <w:rFonts w:ascii="Palatino Linotype" w:eastAsia="Palatino Linotype" w:hAnsi="Palatino Linotype" w:cs="Palatino Linotype"/>
      <w:b/>
      <w:bCs/>
      <w:sz w:val="21"/>
      <w:szCs w:val="21"/>
    </w:rPr>
  </w:style>
  <w:style w:type="paragraph" w:styleId="Textodeglobo">
    <w:name w:val="Balloon Text"/>
    <w:basedOn w:val="Normal"/>
    <w:link w:val="TextodegloboCar"/>
    <w:uiPriority w:val="99"/>
    <w:semiHidden/>
    <w:unhideWhenUsed/>
    <w:rsid w:val="001E3BD0"/>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BD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
    <w:name w:val="Leyenda de la imagen_"/>
    <w:basedOn w:val="Fuentedeprrafopredeter"/>
    <w:link w:val="Leyendadelaimagen0"/>
    <w:rPr>
      <w:rFonts w:ascii="Aharoni" w:eastAsia="Aharoni" w:hAnsi="Aharoni" w:cs="Aharoni"/>
      <w:b w:val="0"/>
      <w:bCs w:val="0"/>
      <w:i w:val="0"/>
      <w:iCs w:val="0"/>
      <w:smallCaps w:val="0"/>
      <w:strike w:val="0"/>
      <w:spacing w:val="0"/>
      <w:sz w:val="8"/>
      <w:szCs w:val="8"/>
    </w:rPr>
  </w:style>
  <w:style w:type="character" w:customStyle="1" w:styleId="Leyendadelaimagen1">
    <w:name w:val="Leyenda de la imagen"/>
    <w:basedOn w:val="Leyendadelaimagen"/>
    <w:rPr>
      <w:rFonts w:ascii="Aharoni" w:eastAsia="Aharoni" w:hAnsi="Aharoni" w:cs="Aharoni"/>
      <w:b w:val="0"/>
      <w:bCs w:val="0"/>
      <w:i w:val="0"/>
      <w:iCs w:val="0"/>
      <w:smallCaps w:val="0"/>
      <w:strike w:val="0"/>
      <w:spacing w:val="0"/>
      <w:sz w:val="8"/>
      <w:szCs w:val="8"/>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0.5 pto"/>
    <w:basedOn w:val="Encabezamientoopiedepgina"/>
    <w:rPr>
      <w:rFonts w:ascii="Palatino Linotype" w:eastAsia="Palatino Linotype" w:hAnsi="Palatino Linotype" w:cs="Palatino Linotype"/>
      <w:b w:val="0"/>
      <w:bCs w:val="0"/>
      <w:i w:val="0"/>
      <w:iCs w:val="0"/>
      <w:smallCaps w:val="0"/>
      <w:strike w:val="0"/>
      <w:sz w:val="21"/>
      <w:szCs w:val="21"/>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21"/>
      <w:szCs w:val="21"/>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1"/>
      <w:szCs w:val="21"/>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c">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d">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e">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f">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pacing w:val="0"/>
      <w:sz w:val="21"/>
      <w:szCs w:val="21"/>
    </w:rPr>
  </w:style>
  <w:style w:type="paragraph" w:customStyle="1" w:styleId="Leyendadelaimagen0">
    <w:name w:val="Leyenda de la imagen"/>
    <w:basedOn w:val="Normal"/>
    <w:link w:val="Leyendadelaimagen"/>
    <w:pPr>
      <w:shd w:val="clear" w:color="auto" w:fill="FFFFFF"/>
      <w:spacing w:line="0" w:lineRule="atLeast"/>
    </w:pPr>
    <w:rPr>
      <w:rFonts w:ascii="Aharoni" w:eastAsia="Aharoni" w:hAnsi="Aharoni" w:cs="Aharoni"/>
      <w:sz w:val="8"/>
      <w:szCs w:val="8"/>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pPr>
      <w:shd w:val="clear" w:color="auto" w:fill="FFFFFF"/>
      <w:spacing w:before="120" w:line="264" w:lineRule="exact"/>
      <w:jc w:val="center"/>
    </w:pPr>
    <w:rPr>
      <w:rFonts w:ascii="Palatino Linotype" w:eastAsia="Palatino Linotype" w:hAnsi="Palatino Linotype" w:cs="Palatino Linotype"/>
      <w:b/>
      <w:bCs/>
      <w:sz w:val="21"/>
      <w:szCs w:val="21"/>
    </w:rPr>
  </w:style>
  <w:style w:type="paragraph" w:customStyle="1" w:styleId="Cuerpodeltexto0">
    <w:name w:val="Cuerpo del texto"/>
    <w:basedOn w:val="Normal"/>
    <w:link w:val="Cuerpodeltexto"/>
    <w:pPr>
      <w:shd w:val="clear" w:color="auto" w:fill="FFFFFF"/>
      <w:spacing w:before="240" w:line="403" w:lineRule="exact"/>
      <w:jc w:val="both"/>
    </w:pPr>
    <w:rPr>
      <w:rFonts w:ascii="Palatino Linotype" w:eastAsia="Palatino Linotype" w:hAnsi="Palatino Linotype" w:cs="Palatino Linotype"/>
      <w:sz w:val="21"/>
      <w:szCs w:val="21"/>
    </w:rPr>
  </w:style>
  <w:style w:type="paragraph" w:customStyle="1" w:styleId="Ttulo10">
    <w:name w:val="Título #1"/>
    <w:basedOn w:val="Normal"/>
    <w:link w:val="Ttulo1"/>
    <w:pPr>
      <w:shd w:val="clear" w:color="auto" w:fill="FFFFFF"/>
      <w:spacing w:before="900" w:after="1020" w:line="264" w:lineRule="exact"/>
      <w:ind w:hanging="1220"/>
      <w:outlineLvl w:val="0"/>
    </w:pPr>
    <w:rPr>
      <w:rFonts w:ascii="Palatino Linotype" w:eastAsia="Palatino Linotype" w:hAnsi="Palatino Linotype" w:cs="Palatino Linotype"/>
      <w:b/>
      <w:bCs/>
      <w:sz w:val="21"/>
      <w:szCs w:val="21"/>
    </w:rPr>
  </w:style>
  <w:style w:type="paragraph" w:styleId="Textodeglobo">
    <w:name w:val="Balloon Text"/>
    <w:basedOn w:val="Normal"/>
    <w:link w:val="TextodegloboCar"/>
    <w:uiPriority w:val="99"/>
    <w:semiHidden/>
    <w:unhideWhenUsed/>
    <w:rsid w:val="001E3BD0"/>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BD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3728</Words>
  <Characters>20504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4</cp:revision>
  <dcterms:created xsi:type="dcterms:W3CDTF">2017-09-20T16:32:00Z</dcterms:created>
  <dcterms:modified xsi:type="dcterms:W3CDTF">2017-09-20T17:13:00Z</dcterms:modified>
</cp:coreProperties>
</file>