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A9" w:rsidRDefault="00D93AC2">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F709A9" w:rsidRDefault="00F709A9">
      <w:pPr>
        <w:rPr>
          <w:sz w:val="2"/>
          <w:szCs w:val="2"/>
        </w:rPr>
      </w:pPr>
    </w:p>
    <w:p w:rsidR="00F709A9" w:rsidRDefault="00833890">
      <w:pPr>
        <w:pStyle w:val="Ttulo10"/>
        <w:keepNext/>
        <w:keepLines/>
        <w:shd w:val="clear" w:color="auto" w:fill="auto"/>
        <w:spacing w:before="12"/>
        <w:ind w:left="440" w:right="20" w:firstLine="0"/>
      </w:pPr>
      <w:bookmarkStart w:id="0" w:name="bookmark0"/>
      <w:r>
        <w:t>"SERVICIO DE MANTENIMIENTO PREVENTIVO Y CORRECTIVO PARA EL SISTEMA DE DETECCION DE INCENDIOS PARA EL COMITÉ DE SEGURIDAD Y SALUD OCUPACIONAL (CSSO) DEL MINISTERIO DE GOBERNACION Y</w:t>
      </w:r>
      <w:bookmarkEnd w:id="0"/>
    </w:p>
    <w:p w:rsidR="00F709A9" w:rsidRDefault="00833890">
      <w:pPr>
        <w:pStyle w:val="Ttulo10"/>
        <w:keepNext/>
        <w:keepLines/>
        <w:shd w:val="clear" w:color="auto" w:fill="auto"/>
        <w:spacing w:before="0" w:after="125"/>
        <w:ind w:left="3660" w:right="2760" w:hanging="620"/>
      </w:pPr>
      <w:bookmarkStart w:id="1" w:name="bookmark1"/>
      <w:r>
        <w:t>DESARROLLO TERRITORIAL" No. MG-067/2017.</w:t>
      </w:r>
      <w:bookmarkEnd w:id="1"/>
    </w:p>
    <w:p w:rsidR="00F709A9" w:rsidRDefault="00833890">
      <w:pPr>
        <w:pStyle w:val="Cuerpodeltexto0"/>
        <w:shd w:val="clear" w:color="auto" w:fill="auto"/>
        <w:spacing w:before="0"/>
        <w:ind w:left="20" w:right="20"/>
      </w:pPr>
      <w:r>
        <w:t>Nosotros,</w:t>
      </w:r>
      <w:r>
        <w:rPr>
          <w:rStyle w:val="CuerpodeltextoNegrita"/>
        </w:rPr>
        <w:t xml:space="preserve"> </w:t>
      </w:r>
      <w:r w:rsidR="00B65981">
        <w:rPr>
          <w:rStyle w:val="CuerpodeltextoNegrita"/>
        </w:rPr>
        <w:t>-------------------------------------------------</w:t>
      </w:r>
      <w:r>
        <w:rPr>
          <w:rStyle w:val="CuerpodeltextoNegrita"/>
        </w:rPr>
        <w:t>,</w:t>
      </w:r>
      <w:r>
        <w:t xml:space="preserve"> de </w:t>
      </w:r>
      <w:r w:rsidR="00B65981">
        <w:t>-----------------</w:t>
      </w:r>
      <w:r>
        <w:t xml:space="preserve">, </w:t>
      </w:r>
      <w:r w:rsidR="00B65981">
        <w:t>--------------------</w:t>
      </w:r>
      <w:r>
        <w:t xml:space="preserve">, de este domicilio, con Documento Único de Identidad número </w:t>
      </w:r>
      <w:r w:rsidR="00B65981">
        <w:t>----------------------------------</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w:t>
      </w:r>
      <w:r>
        <w:rPr>
          <w:rStyle w:val="CuerpodeltextoNegrita"/>
        </w:rPr>
        <w:t>EL MINISTERIO;</w:t>
      </w:r>
      <w:r>
        <w:t xml:space="preserve"> y</w:t>
      </w:r>
      <w:r>
        <w:rPr>
          <w:rStyle w:val="CuerpodeltextoNegrita"/>
        </w:rPr>
        <w:t xml:space="preserve"> </w:t>
      </w:r>
      <w:r w:rsidR="00B65981">
        <w:rPr>
          <w:rStyle w:val="CuerpodeltextoNegrita"/>
        </w:rPr>
        <w:t>----------------------------------</w:t>
      </w:r>
      <w:r>
        <w:rPr>
          <w:rStyle w:val="CuerpodeltextoNegrita"/>
        </w:rPr>
        <w:t>,</w:t>
      </w:r>
      <w:r>
        <w:t xml:space="preserve"> de </w:t>
      </w:r>
      <w:r w:rsidR="00B65981">
        <w:t>--------------------------</w:t>
      </w:r>
      <w:r>
        <w:t xml:space="preserve">, del domicilio </w:t>
      </w:r>
      <w:r w:rsidR="00B65981">
        <w:t>-----------------</w:t>
      </w:r>
      <w:r>
        <w:t xml:space="preserve">, Departamento de </w:t>
      </w:r>
      <w:r w:rsidR="00B65981">
        <w:t>------------------</w:t>
      </w:r>
      <w:r>
        <w:t xml:space="preserve">, portador del Documento Único de Identidad número </w:t>
      </w:r>
      <w:r w:rsidR="00B65981">
        <w:t>----------------------------------</w:t>
      </w:r>
      <w:r>
        <w:t xml:space="preserve"> y Número de Identificación Tributaria </w:t>
      </w:r>
      <w:r w:rsidR="00B65981">
        <w:t>----------------------------------</w:t>
      </w:r>
      <w:r>
        <w:t>, actuando en mi calidad de Apoderado Especial de la Sociedad</w:t>
      </w:r>
      <w:r>
        <w:rPr>
          <w:rStyle w:val="CuerpodeltextoNegrita"/>
        </w:rPr>
        <w:t xml:space="preserve"> INFRA DE EL SALVADOR, SOCIEDAD ANÓNIMA DE CAPITAL VARIABLE,</w:t>
      </w:r>
      <w:r>
        <w:t xml:space="preserve"> que puede abreviarse</w:t>
      </w:r>
      <w:r>
        <w:rPr>
          <w:rStyle w:val="CuerpodeltextoNegrita"/>
        </w:rPr>
        <w:t xml:space="preserve"> INFRA DE EL SALVADOR, S.A</w:t>
      </w:r>
      <w:r>
        <w:t xml:space="preserve"> DE</w:t>
      </w:r>
      <w:r>
        <w:rPr>
          <w:rStyle w:val="CuerpodeltextoNegrita"/>
        </w:rPr>
        <w:t xml:space="preserve"> C.V.,</w:t>
      </w:r>
      <w:r>
        <w:t xml:space="preserve"> de este domicilio, con Número de Identificación Tributaria cero seiscientos catorce - doscientos veinte mil doscientos setenta y siete - cero </w:t>
      </w:r>
      <w:proofErr w:type="spellStart"/>
      <w:r>
        <w:t>cero</w:t>
      </w:r>
      <w:proofErr w:type="spellEnd"/>
      <w:r>
        <w:t xml:space="preserve"> dos - tres; personería que acredito por medio de: Copia Certificada por Notario de Testimonio de Escritura Pública de Poder Especial otorgado a mi favor y de otro, en la Ciudad San Salvador, a las nueve horas y treinta minutos del día siete de abril de dos mil quince, ante los oficios notariales de Silvia Estrella </w:t>
      </w:r>
      <w:proofErr w:type="spellStart"/>
      <w:r>
        <w:t>Nasser</w:t>
      </w:r>
      <w:proofErr w:type="spellEnd"/>
      <w:r>
        <w:t xml:space="preserve"> Escobar, otorgado por el señor Carlos Roberto </w:t>
      </w:r>
      <w:proofErr w:type="spellStart"/>
      <w:r>
        <w:t>Grassl</w:t>
      </w:r>
      <w:proofErr w:type="spellEnd"/>
      <w:r>
        <w:t xml:space="preserve"> Lecha, en su calidad de Presidente de la Junta Directiva y Representante Legal de la sociedad</w:t>
      </w:r>
      <w:r>
        <w:rPr>
          <w:rStyle w:val="CuerpodeltextoNegrita"/>
        </w:rPr>
        <w:t xml:space="preserve"> INFRA DE EL SALVADOR, S.A DE C.V.,</w:t>
      </w:r>
      <w:r>
        <w:t xml:space="preserve"> e inscrito en el Registro de Comercio bajo el número CATORCE, del Libro UN MIL SEISCIENTOS NOVENTA Y UNO, del Registro de Otros Contratos Mercantiles, el día trece de abril de dos mil quince, por lo que en dicho Poder se encuentra debidamente acreditada la existencia de la personería jurídica de la Sociedad, por así dar </w:t>
      </w:r>
      <w:proofErr w:type="spellStart"/>
      <w:r>
        <w:t>fé</w:t>
      </w:r>
      <w:proofErr w:type="spellEnd"/>
      <w:r>
        <w:t xml:space="preserve"> de ello el Notario al haberla tenido a la vista y a través del mismo se </w:t>
      </w:r>
      <w:r>
        <w:lastRenderedPageBreak/>
        <w:t>me confieren las suficientes facultades para comparecer a otorgar actos como el que ampara este instrumento, que en lo sucesivo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LIBRE GESTION</w:t>
      </w:r>
      <w:r>
        <w:t xml:space="preserve"> denominado "SERVICIO DE MANTENIMIENTO PREVENTIVO Y CORRECTIVO PARA EL SISTEMA DE DETECCION DE INCENDIOS, PARA EL COMITÉ DE SEGURIDAD Y SALUD OCUPACIONAL (CSSO) DEL MINISTERIO DE GOBERNACION Y DESARROLLO TERRITORIAL", promovido por el Ministerio de Gobernación y Desarrollo Territorial, y en la Recomendación de Adjudicación emitida por el Comité de Evaluación de Ofertas, en fecha cinco de julio de dos mil diecisiete y suscrito por la Licenciada María del Carmen </w:t>
      </w:r>
      <w:proofErr w:type="spellStart"/>
      <w:r>
        <w:t>Nuñez</w:t>
      </w:r>
      <w:proofErr w:type="spellEnd"/>
      <w:r>
        <w:t xml:space="preserve"> Recinos, en cumplimiento al Acuerdo Número TRES, emitido por el Órgano Ejecutivo en el Ramo de Gobernación y Desarrollo Territorial, el día cuatro de enero de dos mil diecisiete, el siguiente Contrato de</w:t>
      </w:r>
      <w:r>
        <w:rPr>
          <w:rStyle w:val="CuerpodeltextoNegrita0"/>
        </w:rPr>
        <w:t xml:space="preserve"> "SERVICIO DE MANTENIMIENTO PREVENTIVO Y CORRECTIVO PARA EL SISTEMA DE DETECCION DE INCENDIOS, PARA EL COMITÉ DE SEGURIDAD Y SALUD OCUPACIONAL (CSSO) DEL MINISTERIO DE GOBERNACION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OBJETO DEL CONTRATO:</w:t>
      </w:r>
      <w:r>
        <w:t xml:space="preserve"> EL CONTRATISTA se compromete a proporcionar a EL MINISTERIO, el servicio de Mantenimiento Preventivo y Correctivo para el Sistema de Detección de Incendios, para el Comité de Seguridad y Salud Ocupacional (CSSO) del Ministerio de Gobernación y Desarrollo Territorial, detallados en los Términos de Referencia y Oferta Técnica Económica, de acuerdo al siguiente detalle: MANTENIMIENTO PREVENTIVO: del sistema de detección de incendios, consiste en limpieza de ciento dieciocho sensores, diecinueve estaciones manuales, diecinueve luces estrobo con sirena, dos fuentes de poder remota, un </w:t>
      </w:r>
      <w:proofErr w:type="spellStart"/>
      <w:r>
        <w:t>beam</w:t>
      </w:r>
      <w:proofErr w:type="spellEnd"/>
      <w:r>
        <w:t xml:space="preserve"> detector y nueve módulos direccionales distribuidos en el edificio del Ministerio de Gobernación y Desarrollo Territorial; diecinueve estaciones manuales; diecinueve luces estroboscópicas; dos fuentes de poder remota; un </w:t>
      </w:r>
      <w:proofErr w:type="spellStart"/>
      <w:r>
        <w:t>beam</w:t>
      </w:r>
      <w:proofErr w:type="spellEnd"/>
      <w:r>
        <w:t xml:space="preserve"> detector; nueve módulos direccionales; noventa y nueve detectores de fotoeléctricos inteligentes (con sus respectivos sensores); cinco detectores fotoeléctricos multifunción (con sus respectivos sensores); catorce detectores de temperatura inteligente (con sus respectivos sensores). MANTENIMEINTO CORRECTIVO: En caso de que se suministre equipo nuevo o se reparen los existentes como parte del mantenimiento correctivo, El Contratista deberá presentar a consideración del Administrador del Contrato la oferta de mantenimiento correctivo; una vez realizados los trabajos se requiere que El Contratista presente una carta de compromiso donde dará un año de garantía por los trabajos realizados después del </w:t>
      </w:r>
      <w:r>
        <w:lastRenderedPageBreak/>
        <w:t>mantenimiento correctivo.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CINCUENTA Y TRES de Nombramiento de Administrador de Contrato, emitido por el Órgano Ejecutivo en el Ramo de Gobernación y Desarrollo Territorial, en fecha ocho de agosto de dos mil diecisiete; f) La Garantía de Cumplimiento de Contrato; y g) Cualquier otro documento que emanare del presente instrumento. En caso de controversia entre estos documentos y el contrato prevalecerá éste último.</w:t>
      </w:r>
      <w:r>
        <w:rPr>
          <w:rStyle w:val="CuerpodeltextoNegrita2"/>
        </w:rPr>
        <w:t xml:space="preserve"> </w:t>
      </w:r>
      <w:r>
        <w:rPr>
          <w:rStyle w:val="CuerpodeltextoNegrita3"/>
        </w:rPr>
        <w:t>CLAUSULA TERCERA: PLAZO Y VIGENCIA DEL CONTRATO.</w:t>
      </w:r>
      <w:r>
        <w:t xml:space="preserve"> El plazo para la prestación del servicio será: el primer mantenimiento preventivo comenzará cinco días calendario después de haber recibido la orden de inicio emitida por el Administrador del contrato, teniendo cinco días calendario para realizar los trabajos; el segundo mantenimiento se realizará en la primer semana del mes de diciembre de dos mil diecisiete.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w:t>
      </w:r>
    </w:p>
    <w:p w:rsidR="00F709A9" w:rsidRDefault="00833890">
      <w:pPr>
        <w:pStyle w:val="Cuerpodeltexto0"/>
        <w:shd w:val="clear" w:color="auto" w:fill="auto"/>
        <w:spacing w:before="0" w:after="336" w:line="422" w:lineRule="exact"/>
        <w:ind w:left="200" w:right="180"/>
      </w:pPr>
      <w:r>
        <w:rPr>
          <w:rStyle w:val="CuerpodeltextoNegrita4"/>
        </w:rPr>
        <w:t xml:space="preserve">CLAUSULA CUARTA: PRECIO Y FORMA DE </w:t>
      </w:r>
      <w:r>
        <w:rPr>
          <w:rStyle w:val="CuerpodeltextoNegrita5"/>
        </w:rPr>
        <w:t>PAGO.</w:t>
      </w:r>
      <w:r>
        <w:t xml:space="preserve"> El precio total a cancelar por la prestación del servicio objeto del presente Contrato es de</w:t>
      </w:r>
      <w:r>
        <w:rPr>
          <w:rStyle w:val="Cuerpodeltexto1"/>
        </w:rPr>
        <w:t xml:space="preserve"> hasta</w:t>
      </w:r>
      <w:r>
        <w:rPr>
          <w:rStyle w:val="Cuerpodeltexto115pto"/>
        </w:rPr>
        <w:t xml:space="preserve"> DOS MIL 00/100 DOLARES DE LOS ESTADOS UNIDOS DE AMERICA (US$2,000.00),</w:t>
      </w:r>
      <w:r>
        <w:t xml:space="preserve"> valor que incluye el Impuesto a la Transferencia de Bienes Muebles y a la Prestación de Servicios (IVA), y que corresponde a la certificación total de fondos disponible para el presente proceso,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2299"/>
        <w:gridCol w:w="1901"/>
        <w:gridCol w:w="1200"/>
        <w:gridCol w:w="1330"/>
        <w:gridCol w:w="1550"/>
        <w:gridCol w:w="1142"/>
      </w:tblGrid>
      <w:tr w:rsidR="00F709A9">
        <w:trPr>
          <w:trHeight w:val="739"/>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auto"/>
              <w:ind w:left="400" w:firstLine="0"/>
            </w:pPr>
            <w:r>
              <w:lastRenderedPageBreak/>
              <w:t>DEPENDENCIA</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auto"/>
              <w:ind w:firstLine="0"/>
              <w:jc w:val="both"/>
            </w:pPr>
            <w:r>
              <w:t>Cantidad</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exact"/>
              <w:ind w:firstLine="0"/>
              <w:jc w:val="both"/>
            </w:pPr>
            <w:r>
              <w:t>Precio Unitario C/IVA</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auto"/>
              <w:ind w:left="120" w:firstLine="0"/>
            </w:pPr>
            <w:r>
              <w:t>Total C/IVA</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exact"/>
              <w:ind w:left="380"/>
            </w:pPr>
            <w:r>
              <w:t xml:space="preserve">Disponibilidad </w:t>
            </w:r>
            <w:proofErr w:type="spellStart"/>
            <w:r>
              <w:t>Mantto</w:t>
            </w:r>
            <w:proofErr w:type="spellEnd"/>
            <w:r>
              <w:t>. Correctivo</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30"/>
              <w:framePr w:wrap="notBeside" w:vAnchor="text" w:hAnchor="text" w:xAlign="center" w:y="1"/>
              <w:shd w:val="clear" w:color="auto" w:fill="auto"/>
              <w:spacing w:line="240" w:lineRule="exact"/>
              <w:ind w:firstLine="0"/>
              <w:jc w:val="both"/>
            </w:pPr>
            <w:r>
              <w:t>TOTAL US$ IVA incluido</w:t>
            </w:r>
          </w:p>
        </w:tc>
      </w:tr>
      <w:tr w:rsidR="00F709A9">
        <w:trPr>
          <w:trHeight w:val="1013"/>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ind w:left="80"/>
            </w:pPr>
            <w:r>
              <w:t>MINISTERIO DE GOBERNACIÓN Y DESARROLLO TERRITORIAL</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jc w:val="both"/>
            </w:pPr>
            <w:r>
              <w:t>Dos servicios de mantenimiento preventivo</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spacing w:line="240" w:lineRule="auto"/>
              <w:jc w:val="both"/>
            </w:pPr>
            <w:r>
              <w:t>$757.10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spacing w:line="240" w:lineRule="auto"/>
              <w:ind w:left="280"/>
            </w:pPr>
            <w:r>
              <w:rPr>
                <w:lang w:val="de"/>
              </w:rPr>
              <w:t>$1,514.20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spacing w:line="240" w:lineRule="auto"/>
              <w:ind w:left="380"/>
            </w:pPr>
            <w:r>
              <w:t>$485.80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709A9" w:rsidRDefault="00833890">
            <w:pPr>
              <w:pStyle w:val="Cuerpodeltexto20"/>
              <w:framePr w:wrap="notBeside" w:vAnchor="text" w:hAnchor="text" w:xAlign="center" w:y="1"/>
              <w:shd w:val="clear" w:color="auto" w:fill="auto"/>
              <w:spacing w:line="240" w:lineRule="auto"/>
              <w:jc w:val="both"/>
            </w:pPr>
            <w:r>
              <w:rPr>
                <w:lang w:val="de"/>
              </w:rPr>
              <w:t>$2,000.00</w:t>
            </w:r>
          </w:p>
        </w:tc>
      </w:tr>
    </w:tbl>
    <w:p w:rsidR="00F709A9" w:rsidRDefault="00F709A9">
      <w:pPr>
        <w:rPr>
          <w:sz w:val="2"/>
          <w:szCs w:val="2"/>
        </w:rPr>
      </w:pPr>
    </w:p>
    <w:p w:rsidR="00F709A9" w:rsidRDefault="00833890">
      <w:pPr>
        <w:pStyle w:val="Cuerpodeltexto0"/>
        <w:shd w:val="clear" w:color="auto" w:fill="auto"/>
        <w:spacing w:before="257"/>
        <w:ind w:left="200" w:right="180"/>
      </w:pPr>
      <w:r>
        <w:t>El pago para el servicio del mantenimiento preventivo se efectuará de acuerdo a lo ofertado y al servicio efectivamente recibido, y para el servicio de Mantenimiento Correctivo en base a las rutinas correctivas realizadas. Dicho monto será cancelado por EL MINISTERIO, a través 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6"/>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w:t>
      </w:r>
    </w:p>
    <w:p w:rsidR="00F709A9" w:rsidRDefault="00833890">
      <w:pPr>
        <w:pStyle w:val="Cuerpodeltexto0"/>
        <w:shd w:val="clear" w:color="auto" w:fill="auto"/>
        <w:spacing w:before="0"/>
        <w:ind w:left="20"/>
      </w:pPr>
      <w:proofErr w:type="gramStart"/>
      <w:r>
        <w:t>artículo</w:t>
      </w:r>
      <w:proofErr w:type="gramEnd"/>
      <w:r>
        <w:t xml:space="preserve"> 162 del Código Tributario.</w:t>
      </w:r>
      <w:r>
        <w:rPr>
          <w:rStyle w:val="CuerpodeltextoNegrita7"/>
        </w:rPr>
        <w:t xml:space="preserve"> </w:t>
      </w:r>
      <w:r>
        <w:rPr>
          <w:rStyle w:val="CuerpodeltextoNegrita8"/>
        </w:rPr>
        <w:t>CLAUSULA QUINTA: PROVISIÓN DE PAGO.</w:t>
      </w:r>
      <w:r>
        <w:t xml:space="preserve"> El</w:t>
      </w:r>
    </w:p>
    <w:p w:rsidR="00F709A9" w:rsidRDefault="00833890">
      <w:pPr>
        <w:pStyle w:val="Cuerpodeltexto0"/>
        <w:shd w:val="clear" w:color="auto" w:fill="auto"/>
        <w:spacing w:before="0"/>
        <w:ind w:left="20"/>
      </w:pPr>
      <w:proofErr w:type="gramStart"/>
      <w:r>
        <w:t>gasto</w:t>
      </w:r>
      <w:proofErr w:type="gramEnd"/>
      <w:r>
        <w:t xml:space="preserve"> indicado será cancelado con cargo a la disponibilidad presupuestaria certificada por la Unidad Financiera Institucional para el presente proceso.</w:t>
      </w:r>
      <w:r>
        <w:rPr>
          <w:rStyle w:val="CuerpodeltextoNegrita7"/>
        </w:rPr>
        <w:t xml:space="preserve"> </w:t>
      </w:r>
      <w:r>
        <w:rPr>
          <w:rStyle w:val="CuerpodeltextoNegrita8"/>
        </w:rPr>
        <w:t>CLAUSULA SEXTA: OBLIGACIONES DE EL CONTRATISTA.</w:t>
      </w:r>
      <w:r>
        <w:rPr>
          <w:rStyle w:val="CuerpodeltextoNegrita7"/>
        </w:rP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y según las cantidades y requerimientos </w:t>
      </w:r>
      <w:r>
        <w:lastRenderedPageBreak/>
        <w:t>mínimos establecidos en los Términos de Referencia, tanto para el Servicio de Mantenimiento Preventivo y Correctivo, así mismo de conformidad a todos los documentos contractuales. El servicio deberá realizarse dos veces al año, todo en coordinación con el Administrador del Contrato. En todo caso EL CONTRATISTA garantizará la calidad del servicio que preste, debiendo estar éste, conforme a lo ofertado y a las especificaciones técnicas requeridas y demás condiciones establecidas en los Términos de Referencia.</w:t>
      </w:r>
      <w:r>
        <w:rPr>
          <w:rStyle w:val="CuerpodeltextoNegrita7"/>
        </w:rPr>
        <w:t xml:space="preserve"> </w:t>
      </w:r>
      <w:r>
        <w:rPr>
          <w:rStyle w:val="CuerpodeltextoNegrita8"/>
        </w:rPr>
        <w:t>CLÁUSULA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7"/>
        </w:rPr>
        <w:t xml:space="preserve"> </w:t>
      </w:r>
      <w:r>
        <w:rPr>
          <w:rStyle w:val="CuerpodeltextoNegrita8"/>
        </w:rPr>
        <w:t>CLAUSULA OCTAVA: GARANTÍA DE CUMPLIMIENTO DE CONTRATO.</w:t>
      </w:r>
      <w:r>
        <w:t xml:space="preserve"> 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r>
        <w:rPr>
          <w:rStyle w:val="CuerpodeltextoNegrita7"/>
        </w:rPr>
        <w:t xml:space="preserve"> DOSCIENTOS 00/100 DÓLARES DE LOS ESTADOS UNIDOS DE AMÉRICA (US$200.00)</w:t>
      </w:r>
      <w:r>
        <w:t xml:space="preserve"> equivalente al diez por ciento (10%) del valor total del Contrato, para asegurar el cumplimiento de todas las obligaciones emanadas del mismo, la cual deberá mantenerse vigente a partir de la fecha de su presentación hasta un mínimo de treinta días posteriores a la fecha de finalización del</w:t>
      </w:r>
    </w:p>
    <w:p w:rsidR="00F709A9" w:rsidRDefault="00833890">
      <w:pPr>
        <w:pStyle w:val="Cuerpodeltexto0"/>
        <w:shd w:val="clear" w:color="auto" w:fill="auto"/>
        <w:spacing w:before="0"/>
        <w:ind w:right="20"/>
      </w:pPr>
      <w:r>
        <w:t>Contrato y de sus prórrogas, si las hubiere.</w:t>
      </w:r>
      <w:r>
        <w:rPr>
          <w:rStyle w:val="CuerpodeltextoNegrita9"/>
        </w:rPr>
        <w:t xml:space="preserve"> </w:t>
      </w:r>
      <w:r>
        <w:rPr>
          <w:rStyle w:val="CuerpodeltextoNegritaa"/>
        </w:rPr>
        <w:t>CLAUSULA NOVENA: ADMINISTRADOR DEL CONTRATO:</w:t>
      </w:r>
      <w:r>
        <w:t xml:space="preserve"> La administración del presente contrato según Acuerdo Número CINCUENTA Y TRES, antes citado, estará a cargo del Ingeniero JOSE FERNANDO MONTANO,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w:t>
      </w:r>
      <w:r>
        <w:lastRenderedPageBreak/>
        <w:t>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9"/>
        </w:rPr>
        <w:t xml:space="preserve"> </w:t>
      </w:r>
      <w:r>
        <w:rPr>
          <w:rStyle w:val="CuerpodeltextoNegritaa"/>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b"/>
        </w:rPr>
        <w:t xml:space="preserve"> </w:t>
      </w:r>
      <w:r>
        <w:rPr>
          <w:rStyle w:val="CuerpodeltextoNegritac"/>
        </w:rPr>
        <w:t xml:space="preserve">CLÁUSULA DÉCIMA PRIMERA: MODIFICACIÓN Y/O PRÓRROGA. </w:t>
      </w:r>
      <w:r>
        <w:t xml:space="preserve">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w:t>
      </w:r>
      <w:r>
        <w:lastRenderedPageBreak/>
        <w:t xml:space="preserve">ley y a los Artículos 23 literal k) y 75 del mencionado Reglamento. </w:t>
      </w:r>
      <w:r>
        <w:rPr>
          <w:rStyle w:val="CuerpodeltextoNegritac"/>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w:t>
      </w:r>
      <w:r>
        <w:rPr>
          <w:rStyle w:val="CuerpodeltextoNegritab"/>
        </w:rPr>
        <w:t xml:space="preserve"> </w:t>
      </w:r>
      <w:r>
        <w:rPr>
          <w:rStyle w:val="CuerpodeltextoNegritac"/>
        </w:rPr>
        <w:t>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d"/>
        </w:rPr>
        <w:t xml:space="preserve"> CLÁUSULA DÉCIMA CUARTA: INTERPRETACIÓN DEL CONTRATO.</w:t>
      </w:r>
      <w:r>
        <w:t xml:space="preserve"> EL</w:t>
      </w:r>
    </w:p>
    <w:p w:rsidR="00F709A9" w:rsidRDefault="00833890">
      <w:pPr>
        <w:pStyle w:val="Cuerpodeltexto0"/>
        <w:shd w:val="clear" w:color="auto" w:fill="auto"/>
        <w:spacing w:before="0" w:after="1435"/>
        <w:ind w:left="20" w:right="20"/>
      </w:pPr>
      <w:r>
        <w:t>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Directora de la Unidad de Adquisiciones y Contrataciones Institucional.</w:t>
      </w:r>
      <w:r>
        <w:rPr>
          <w:rStyle w:val="CuerpodeltextoNegritad"/>
        </w:rPr>
        <w:t xml:space="preserve"> </w:t>
      </w:r>
      <w:r>
        <w:rPr>
          <w:rStyle w:val="CuerpodeltextoNegritae"/>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w:t>
      </w:r>
      <w:r>
        <w:lastRenderedPageBreak/>
        <w:t>competencia de cuyos tribunales se someten</w:t>
      </w:r>
      <w:r>
        <w:rPr>
          <w:rStyle w:val="CuerpodeltextoNegritad"/>
        </w:rPr>
        <w:t xml:space="preserve"> </w:t>
      </w:r>
      <w:r>
        <w:rPr>
          <w:rStyle w:val="CuerpodeltextoNegritae"/>
        </w:rPr>
        <w:t xml:space="preserve">CLÁUSULA DÉCIMA SEXTA: TERMINACIÓN DEL CONTRATO. </w:t>
      </w:r>
      <w:r>
        <w:t>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r>
        <w:rPr>
          <w:rStyle w:val="CuerpodeltextoNegritad"/>
        </w:rPr>
        <w:t xml:space="preserve"> </w:t>
      </w:r>
      <w:r>
        <w:rPr>
          <w:rStyle w:val="CuerpodeltextoNegritae"/>
        </w:rPr>
        <w:t>CLÁUSULA DÉCIMA SEPTIMA: LEGISLACIÓN APLICABLE.</w:t>
      </w:r>
      <w:r>
        <w:t xml:space="preserve"> Las partes se someten a la legislación vigente de la República de El Salvador.</w:t>
      </w:r>
      <w:r>
        <w:rPr>
          <w:rStyle w:val="CuerpodeltextoNegritad"/>
        </w:rPr>
        <w:t xml:space="preserve"> </w:t>
      </w:r>
      <w:r>
        <w:rPr>
          <w:rStyle w:val="CuerpodeltextoNegritae"/>
        </w:rPr>
        <w:t>CLAUSULA DECIMA OCTAVA: CONDICIONES DE PREVENCION Y ERRADICACION DEL TRABAJO INFANTIL</w:t>
      </w:r>
      <w:r>
        <w:rPr>
          <w:rStyle w:val="CuerpodeltextoNegritad"/>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lang w:val="de"/>
        </w:rPr>
        <w:t xml:space="preserve">158 </w:t>
      </w:r>
      <w:r>
        <w:t>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
        </w:rPr>
        <w:t xml:space="preserve"> </w:t>
      </w:r>
      <w:r>
        <w:rPr>
          <w:rStyle w:val="CuerpodeltextoNegritaf0"/>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w:t>
      </w:r>
      <w:r>
        <w:rPr>
          <w:lang w:val="de"/>
        </w:rPr>
        <w:t xml:space="preserve">15 </w:t>
      </w:r>
      <w:r>
        <w:t xml:space="preserve">Avenida Norte, Centro de Gobierno, San Salvador, y para EL CONTRATISTA, en </w:t>
      </w:r>
      <w:r>
        <w:rPr>
          <w:lang w:val="de"/>
        </w:rPr>
        <w:t xml:space="preserve">25 </w:t>
      </w:r>
      <w:r>
        <w:t xml:space="preserve">Avenida norte, N° </w:t>
      </w:r>
      <w:r>
        <w:rPr>
          <w:lang w:val="de"/>
        </w:rPr>
        <w:t xml:space="preserve">1080, </w:t>
      </w:r>
      <w:r>
        <w:t xml:space="preserve">Colonia Médica, </w:t>
      </w:r>
      <w:r>
        <w:rPr>
          <w:lang w:val="de"/>
        </w:rPr>
        <w:t xml:space="preserve">San </w:t>
      </w:r>
      <w:r>
        <w:t>Salvador. En fe de lo cual firmamos el presente Contrato, en la ciudad de San Salvador, a los ocho días del mes de agos</w:t>
      </w:r>
      <w:bookmarkStart w:id="2" w:name="_GoBack"/>
      <w:bookmarkEnd w:id="2"/>
      <w:r>
        <w:t>to de dos mil diecisiete.</w:t>
      </w:r>
    </w:p>
    <w:p w:rsidR="00F709A9" w:rsidRDefault="00833890">
      <w:pPr>
        <w:pStyle w:val="Ttulo10"/>
        <w:keepNext/>
        <w:keepLines/>
        <w:shd w:val="clear" w:color="auto" w:fill="auto"/>
        <w:spacing w:before="0" w:after="184"/>
        <w:ind w:left="1240" w:right="3980"/>
      </w:pPr>
      <w:bookmarkStart w:id="3" w:name="bookmark2"/>
      <w:r>
        <w:lastRenderedPageBreak/>
        <w:t>EL MINISTERIO</w:t>
      </w:r>
      <w:bookmarkEnd w:id="3"/>
    </w:p>
    <w:p w:rsidR="00F709A9" w:rsidRDefault="00833890">
      <w:pPr>
        <w:pStyle w:val="Ttulo10"/>
        <w:keepNext/>
        <w:keepLines/>
        <w:shd w:val="clear" w:color="auto" w:fill="auto"/>
        <w:spacing w:before="0" w:line="259" w:lineRule="exact"/>
        <w:ind w:left="4920" w:right="20" w:firstLine="0"/>
        <w:jc w:val="right"/>
      </w:pPr>
      <w:bookmarkStart w:id="4" w:name="bookmark3"/>
      <w:r>
        <w:rPr>
          <w:lang w:val="fr"/>
        </w:rPr>
        <w:t>.</w:t>
      </w:r>
      <w:bookmarkEnd w:id="4"/>
    </w:p>
    <w:p w:rsidR="00F709A9" w:rsidRDefault="00833890">
      <w:pPr>
        <w:pStyle w:val="Ttulo10"/>
        <w:keepNext/>
        <w:keepLines/>
        <w:shd w:val="clear" w:color="auto" w:fill="auto"/>
        <w:spacing w:before="0" w:line="259" w:lineRule="exact"/>
        <w:ind w:right="20" w:firstLine="0"/>
        <w:jc w:val="right"/>
      </w:pPr>
      <w:bookmarkStart w:id="5" w:name="bookmark4"/>
      <w:r>
        <w:rPr>
          <w:lang w:val="fr"/>
        </w:rPr>
        <w:t>EL CONTRATISTA</w:t>
      </w:r>
      <w:bookmarkEnd w:id="5"/>
    </w:p>
    <w:sectPr w:rsidR="00F709A9">
      <w:footerReference w:type="default" r:id="rId8"/>
      <w:type w:val="continuous"/>
      <w:pgSz w:w="11905" w:h="16837"/>
      <w:pgMar w:top="1482" w:right="1234" w:bottom="1482"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66" w:rsidRDefault="00754E66">
      <w:r>
        <w:separator/>
      </w:r>
    </w:p>
  </w:endnote>
  <w:endnote w:type="continuationSeparator" w:id="0">
    <w:p w:rsidR="00754E66" w:rsidRDefault="0075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A9" w:rsidRDefault="00833890">
    <w:pPr>
      <w:pStyle w:val="Encabezamientoopiedepgina0"/>
      <w:framePr w:w="12216" w:h="168" w:wrap="none" w:vAnchor="text" w:hAnchor="page" w:x="-154" w:y="-1242"/>
      <w:shd w:val="clear" w:color="auto" w:fill="auto"/>
      <w:ind w:left="10378"/>
    </w:pPr>
    <w:r>
      <w:fldChar w:fldCharType="begin"/>
    </w:r>
    <w:r>
      <w:instrText xml:space="preserve"> PAGE \* MERGEFORMAT </w:instrText>
    </w:r>
    <w:r>
      <w:fldChar w:fldCharType="separate"/>
    </w:r>
    <w:r w:rsidR="00B65981" w:rsidRPr="00B65981">
      <w:rPr>
        <w:rStyle w:val="EncabezamientoopiedepginaPalatinoLinotype"/>
        <w:noProof/>
      </w:rPr>
      <w:t>8</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66" w:rsidRDefault="00754E66"/>
  </w:footnote>
  <w:footnote w:type="continuationSeparator" w:id="0">
    <w:p w:rsidR="00754E66" w:rsidRDefault="00754E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A9"/>
    <w:rsid w:val="00754E66"/>
    <w:rsid w:val="00833890"/>
    <w:rsid w:val="00B65981"/>
    <w:rsid w:val="00D93AC2"/>
    <w:rsid w:val="00F709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5 pto"/>
    <w:basedOn w:val="Encabezamientoopiedepgina"/>
    <w:rPr>
      <w:rFonts w:ascii="Palatino Linotype" w:eastAsia="Palatino Linotype" w:hAnsi="Palatino Linotype" w:cs="Palatino Linotype"/>
      <w:b w:val="0"/>
      <w:bCs w:val="0"/>
      <w:i w:val="0"/>
      <w:iCs w:val="0"/>
      <w:smallCaps w:val="0"/>
      <w:strike w:val="0"/>
      <w:sz w:val="23"/>
      <w:szCs w:val="23"/>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115pto">
    <w:name w:val="Cuerpo del texto + 11.5 pto"/>
    <w:aliases w:val="Negrita"/>
    <w:basedOn w:val="Cuerpodeltexto"/>
    <w:rPr>
      <w:rFonts w:ascii="Palatino Linotype" w:eastAsia="Palatino Linotype" w:hAnsi="Palatino Linotype" w:cs="Palatino Linotype"/>
      <w:b/>
      <w:bCs/>
      <w:i w:val="0"/>
      <w:iCs w:val="0"/>
      <w:smallCaps w:val="0"/>
      <w:strike w:val="0"/>
      <w:spacing w:val="0"/>
      <w:sz w:val="23"/>
      <w:szCs w:val="23"/>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60" w:line="264" w:lineRule="exact"/>
      <w:ind w:hanging="1220"/>
      <w:outlineLvl w:val="0"/>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line="0" w:lineRule="atLeast"/>
      <w:ind w:hanging="300"/>
    </w:pPr>
    <w:rPr>
      <w:rFonts w:ascii="Palatino Linotype" w:eastAsia="Palatino Linotype" w:hAnsi="Palatino Linotype" w:cs="Palatino Linotype"/>
      <w:b/>
      <w:bCs/>
      <w:sz w:val="22"/>
      <w:szCs w:val="22"/>
    </w:rPr>
  </w:style>
  <w:style w:type="paragraph" w:customStyle="1" w:styleId="Cuerpodeltexto20">
    <w:name w:val="Cuerpo del texto (2)"/>
    <w:basedOn w:val="Normal"/>
    <w:link w:val="Cuerpodeltexto2"/>
    <w:pPr>
      <w:shd w:val="clear" w:color="auto" w:fill="FFFFFF"/>
      <w:spacing w:line="245" w:lineRule="exact"/>
    </w:pPr>
    <w:rPr>
      <w:rFonts w:ascii="Palatino Linotype" w:eastAsia="Palatino Linotype" w:hAnsi="Palatino Linotype" w:cs="Palatino Linotype"/>
      <w:sz w:val="20"/>
      <w:szCs w:val="20"/>
    </w:rPr>
  </w:style>
  <w:style w:type="paragraph" w:styleId="Textodeglobo">
    <w:name w:val="Balloon Text"/>
    <w:basedOn w:val="Normal"/>
    <w:link w:val="TextodegloboCar"/>
    <w:uiPriority w:val="99"/>
    <w:semiHidden/>
    <w:unhideWhenUsed/>
    <w:rsid w:val="00B6598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9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5 pto"/>
    <w:basedOn w:val="Encabezamientoopiedepgina"/>
    <w:rPr>
      <w:rFonts w:ascii="Palatino Linotype" w:eastAsia="Palatino Linotype" w:hAnsi="Palatino Linotype" w:cs="Palatino Linotype"/>
      <w:b w:val="0"/>
      <w:bCs w:val="0"/>
      <w:i w:val="0"/>
      <w:iCs w:val="0"/>
      <w:smallCaps w:val="0"/>
      <w:strike w:val="0"/>
      <w:sz w:val="23"/>
      <w:szCs w:val="23"/>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115pto">
    <w:name w:val="Cuerpo del texto + 11.5 pto"/>
    <w:aliases w:val="Negrita"/>
    <w:basedOn w:val="Cuerpodeltexto"/>
    <w:rPr>
      <w:rFonts w:ascii="Palatino Linotype" w:eastAsia="Palatino Linotype" w:hAnsi="Palatino Linotype" w:cs="Palatino Linotype"/>
      <w:b/>
      <w:bCs/>
      <w:i w:val="0"/>
      <w:iCs w:val="0"/>
      <w:smallCaps w:val="0"/>
      <w:strike w:val="0"/>
      <w:spacing w:val="0"/>
      <w:sz w:val="23"/>
      <w:szCs w:val="23"/>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60" w:line="264" w:lineRule="exact"/>
      <w:ind w:hanging="1220"/>
      <w:outlineLvl w:val="0"/>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line="0" w:lineRule="atLeast"/>
      <w:ind w:hanging="300"/>
    </w:pPr>
    <w:rPr>
      <w:rFonts w:ascii="Palatino Linotype" w:eastAsia="Palatino Linotype" w:hAnsi="Palatino Linotype" w:cs="Palatino Linotype"/>
      <w:b/>
      <w:bCs/>
      <w:sz w:val="22"/>
      <w:szCs w:val="22"/>
    </w:rPr>
  </w:style>
  <w:style w:type="paragraph" w:customStyle="1" w:styleId="Cuerpodeltexto20">
    <w:name w:val="Cuerpo del texto (2)"/>
    <w:basedOn w:val="Normal"/>
    <w:link w:val="Cuerpodeltexto2"/>
    <w:pPr>
      <w:shd w:val="clear" w:color="auto" w:fill="FFFFFF"/>
      <w:spacing w:line="245" w:lineRule="exact"/>
    </w:pPr>
    <w:rPr>
      <w:rFonts w:ascii="Palatino Linotype" w:eastAsia="Palatino Linotype" w:hAnsi="Palatino Linotype" w:cs="Palatino Linotype"/>
      <w:sz w:val="20"/>
      <w:szCs w:val="20"/>
    </w:rPr>
  </w:style>
  <w:style w:type="paragraph" w:styleId="Textodeglobo">
    <w:name w:val="Balloon Text"/>
    <w:basedOn w:val="Normal"/>
    <w:link w:val="TextodegloboCar"/>
    <w:uiPriority w:val="99"/>
    <w:semiHidden/>
    <w:unhideWhenUsed/>
    <w:rsid w:val="00B6598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9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2017-09-25T19:54:00Z</dcterms:created>
  <dcterms:modified xsi:type="dcterms:W3CDTF">2017-09-26T16:26:00Z</dcterms:modified>
</cp:coreProperties>
</file>