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30" w:rsidRDefault="006A7211">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CB4A30" w:rsidRDefault="00CB4A30">
      <w:pPr>
        <w:rPr>
          <w:sz w:val="2"/>
          <w:szCs w:val="2"/>
        </w:rPr>
      </w:pPr>
    </w:p>
    <w:p w:rsidR="00CB4A30" w:rsidRDefault="00F5069A">
      <w:pPr>
        <w:pStyle w:val="Cuerpodeltexto20"/>
        <w:shd w:val="clear" w:color="auto" w:fill="auto"/>
        <w:spacing w:before="12" w:after="125"/>
        <w:ind w:left="500" w:right="500"/>
      </w:pPr>
      <w:r>
        <w:t>"SERVICIO DE MANTENIMIENTO PREVENTIVO Y CORRECTIVO PARA EL SISTEMA DE ALERTA TEMPRA</w:t>
      </w:r>
      <w:bookmarkStart w:id="0" w:name="_GoBack"/>
      <w:bookmarkEnd w:id="0"/>
      <w:r>
        <w:t>NA POR SISMO, PARA EL COMITÉ DE SEGURIDAD Y SALUD OCUPACIONAL (CSSO) DEL MINISTERIO DE GOBERNACION Y DESARROLLO TERRITORIAL" No. MG-070/2017.</w:t>
      </w:r>
    </w:p>
    <w:p w:rsidR="00CB4A30" w:rsidRDefault="00F5069A">
      <w:pPr>
        <w:pStyle w:val="Cuerpodeltexto0"/>
        <w:shd w:val="clear" w:color="auto" w:fill="auto"/>
        <w:spacing w:before="0"/>
        <w:ind w:left="20" w:right="20"/>
      </w:pPr>
      <w:r>
        <w:t>Nosotros,</w:t>
      </w:r>
      <w:r>
        <w:rPr>
          <w:rStyle w:val="CuerpodeltextoNegrita"/>
        </w:rPr>
        <w:t xml:space="preserve"> </w:t>
      </w:r>
      <w:r w:rsidR="0044020D">
        <w:rPr>
          <w:rStyle w:val="CuerpodeltextoNegrita"/>
        </w:rPr>
        <w:t>---------------------------------------------------</w:t>
      </w:r>
      <w:r>
        <w:rPr>
          <w:rStyle w:val="CuerpodeltextoNegrita"/>
        </w:rPr>
        <w:t>,</w:t>
      </w:r>
      <w:r>
        <w:t xml:space="preserve"> de </w:t>
      </w:r>
      <w:r w:rsidR="0044020D">
        <w:t>---------------------------------</w:t>
      </w:r>
      <w:r>
        <w:t xml:space="preserve">, de </w:t>
      </w:r>
      <w:r w:rsidR="007A49F8">
        <w:t>---------------</w:t>
      </w:r>
      <w:r>
        <w:t xml:space="preserve">, con Documento Único de Identidad número </w:t>
      </w:r>
      <w:r w:rsidR="0044020D">
        <w:t>-------------------------------</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 </w:t>
      </w:r>
      <w:r>
        <w:rPr>
          <w:rStyle w:val="CuerpodeltextoNegrita"/>
        </w:rPr>
        <w:t>EL MINISTERIO;</w:t>
      </w:r>
      <w:r>
        <w:t xml:space="preserve"> y</w:t>
      </w:r>
      <w:r>
        <w:rPr>
          <w:rStyle w:val="CuerpodeltextoNegrita"/>
        </w:rPr>
        <w:t xml:space="preserve"> </w:t>
      </w:r>
      <w:r w:rsidR="0044020D">
        <w:rPr>
          <w:rStyle w:val="CuerpodeltextoNegrita"/>
        </w:rPr>
        <w:t>---------------------------------------</w:t>
      </w:r>
      <w:r>
        <w:rPr>
          <w:rStyle w:val="CuerpodeltextoNegrita"/>
        </w:rPr>
        <w:t>,</w:t>
      </w:r>
      <w:r>
        <w:t xml:space="preserve"> de </w:t>
      </w:r>
      <w:r w:rsidR="0044020D">
        <w:t>--------------------------</w:t>
      </w:r>
      <w:r>
        <w:t xml:space="preserve">, Departamento de </w:t>
      </w:r>
      <w:r w:rsidR="0044020D">
        <w:t>--------------</w:t>
      </w:r>
      <w:r>
        <w:t xml:space="preserve">, portador del Documento Único de Identidad número </w:t>
      </w:r>
      <w:r w:rsidR="0044020D">
        <w:t>------------------------------------</w:t>
      </w:r>
      <w:r>
        <w:t xml:space="preserve"> y Número de Identificación Tributaria </w:t>
      </w:r>
      <w:r w:rsidR="0044020D">
        <w:t>---------------------------</w:t>
      </w:r>
      <w:r>
        <w:t>, actuando en mi calidad de Director Presidente y Representante Legal de la Sociedad</w:t>
      </w:r>
      <w:r>
        <w:rPr>
          <w:rStyle w:val="CuerpodeltextoNegrita"/>
        </w:rPr>
        <w:t xml:space="preserve"> TAS EL SALVADOR, SOCIEDAD ANÓNIMA DE CAPITAL VARIABLE,</w:t>
      </w:r>
      <w:r>
        <w:t xml:space="preserve"> que puede abreviarse</w:t>
      </w:r>
      <w:r>
        <w:rPr>
          <w:rStyle w:val="CuerpodeltextoNegrita"/>
        </w:rPr>
        <w:t xml:space="preserve"> TASES, S.A</w:t>
      </w:r>
      <w:r>
        <w:t xml:space="preserve"> DE</w:t>
      </w:r>
      <w:r>
        <w:rPr>
          <w:rStyle w:val="CuerpodeltextoNegrita"/>
        </w:rPr>
        <w:t xml:space="preserve"> C.V.,</w:t>
      </w:r>
      <w:r>
        <w:t xml:space="preserve"> de este domicilio, con Número de Identificación Tributaria cero seiscientos catorce - cero once mil cero </w:t>
      </w:r>
      <w:proofErr w:type="spellStart"/>
      <w:r>
        <w:t>cero</w:t>
      </w:r>
      <w:proofErr w:type="spellEnd"/>
      <w:r>
        <w:t xml:space="preserve"> ocho - ciento dos - cero; personería que acredito por medio de:</w:t>
      </w:r>
      <w:r>
        <w:rPr>
          <w:rStyle w:val="CuerpodeltextoNegrita"/>
        </w:rPr>
        <w:t xml:space="preserve"> I)</w:t>
      </w:r>
      <w:r>
        <w:t xml:space="preserve"> Copia Certificada por Notario de Testimonio de Escritura Pública de Constitución de Sociedad, otorgada en la ciudad de San Salvador, a las once horas treinta minutos del día uno de octubre de dos mil ocho, ante los Oficios Notariales de Zoila del Carmen Cruz de Figueroa, inscrita en el Registro de Comercio al número TREINTA Y CINCO, del Libro DOS MIL TRESCIENTOS SESENTA Y NUEVE, del Registro de Sociedades, el día veintiocho de octubre de dos mil ocho, de la cual consta que la denominación de la sociedad es como se ha indicado, que su naturaleza es Anónima sujeta al Régimen de Capital Variable, que su plazo es indeterminado, que dentro de su finalidad se encuentra la comercialización, distribución, instalación y gestión de Sistemas de Seguridad Electrónica; que la Representación Judicial y extrajudicial y el uso de la firma social de la Sociedad estará confiada a una Junta </w:t>
      </w:r>
      <w:r>
        <w:lastRenderedPageBreak/>
        <w:t>Directiva, quienes durarán en sus funciones cinco años,</w:t>
      </w:r>
      <w:r>
        <w:rPr>
          <w:rStyle w:val="CuerpodeltextoNegrita0"/>
        </w:rPr>
        <w:t xml:space="preserve"> II)</w:t>
      </w:r>
      <w:r>
        <w:t xml:space="preserve"> Fotocopia certificada por Notario de la Credencial de Elección de la Junta Directiva de la sociedad</w:t>
      </w:r>
      <w:r>
        <w:rPr>
          <w:rStyle w:val="CuerpodeltextoNegrita0"/>
        </w:rPr>
        <w:t xml:space="preserve"> TAS EL SALVADOR, SOCIEDAD ANONIMA DE CAPITAL VARIABLE,</w:t>
      </w:r>
      <w:r>
        <w:t xml:space="preserve"> extendida el día veinticinco de septiembre del año dos mil trece, por el Secretario de debates de la Junta General Ordinaria de Accionistas, en la que se hace constar que en sesión celebrada a las diez horas del día dieciséis de septiembre del año dos mil trece, asentada en el Acta número CATORCE, del Libro de Actas de la Junta General de Accionistas, fui electo Director Presidente y Representante Legal de la sociedad, para el período de CINCO años, la cual fue inscrita con fecha once de octubre del año dos mil trece, en el Registro de Comercio bajo el número CUARENTA Y TRES del Libro TRES MIL CIENTO SESENTA Y CINCO, del Registro de Sociedades, por lo que estoy plenamente facultado para otorgar actos como el que ampara este instrumento, que en lo sucesivo me denominaré</w:t>
      </w:r>
      <w:r>
        <w:rPr>
          <w:rStyle w:val="CuerpodeltextoNegrita0"/>
        </w:rPr>
        <w:t xml:space="preserve"> "EL CONTRATISTA",</w:t>
      </w:r>
      <w:r>
        <w:t xml:space="preserve"> convenimos en celebrar y al efecto así lo hacemos, con base en el proceso de</w:t>
      </w:r>
      <w:r>
        <w:rPr>
          <w:rStyle w:val="CuerpodeltextoNegrita0"/>
        </w:rPr>
        <w:t xml:space="preserve"> LIBRE GESTION</w:t>
      </w:r>
      <w:r>
        <w:t xml:space="preserve"> denominado "SERVICIO DE MANTENIMIENTO PREVENTIVO Y CORRECTIVO PARA EL SISTEMA DE ALERTA TEMPRANA POR SISMO, PARA EL COMITÉ DE SEGURIDAD Y SALUD OCUPACIONAL (CSSO) DEL MINISTERIO DE GOBERNACION Y DESARROLLO TERRITORIAL", promovido por el Ministerio de Gobernación y Desarrollo Territorial, y en la Recomendación de Adjudicación emitida por el Comité de Evaluación de Ofertas, en fecha cinco de julio de dos mil diecisiete y suscrito por la Licenciada María del Carmen </w:t>
      </w:r>
      <w:proofErr w:type="spellStart"/>
      <w:r>
        <w:t>Nuñez</w:t>
      </w:r>
      <w:proofErr w:type="spellEnd"/>
      <w:r>
        <w:t xml:space="preserve"> Recinos, en cumplimiento al Acuerdo Número TRES, emitido por el Órgano Ejecutivo en el Ramo de Gobernación y Desarrollo Territorial, el día cuatro de enero de dos mil diecisiete, el siguiente Contrato de</w:t>
      </w:r>
      <w:r>
        <w:rPr>
          <w:rStyle w:val="CuerpodeltextoNegrita0"/>
        </w:rPr>
        <w:t xml:space="preserve"> "SERVICIO DE MANTENIMIENTO PREVENTIVO Y CORRECTIVO PARA EL SISTEMA DE ALERTA TEMPRANA POR SISMO, PARA EL COMITÉ DE SEGURIDAD Y SALUD OCUPACIONAL (CSSO) DEL MINISTERIO DE GOBERNACION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OBJETO DEL</w:t>
      </w:r>
    </w:p>
    <w:p w:rsidR="00CB4A30" w:rsidRDefault="00F5069A">
      <w:pPr>
        <w:pStyle w:val="Cuerpodeltexto0"/>
        <w:shd w:val="clear" w:color="auto" w:fill="auto"/>
        <w:spacing w:before="0"/>
        <w:ind w:left="20"/>
      </w:pPr>
      <w:r>
        <w:rPr>
          <w:rStyle w:val="CuerpodeltextoNegrita2"/>
        </w:rPr>
        <w:t>CONTRATO:</w:t>
      </w:r>
      <w:r>
        <w:t xml:space="preserve"> EL CONTRATISTA se compromete a proporcionar a EL MINISTERIO, el servicio de Mantenimiento Preventivo y Correctivo para el Sistema de Alerta Temprana por sismo, para el Comité de Seguridad y Salud Ocupacional (CSSO) del Ministerio de Gobernación y Desarrollo Territorial, detallados en los Términos de Referencia y Oferta Técnica Económica, de acuerdo al siguiente detalle: MANTENIMIENTO PREVENTIVO, TRABAJOS A REALIZAR: Revisión, limpieza y prueba de panel, amplificador, consola, UPS; Revisión, limpieza y pruebas de sirenas, </w:t>
      </w:r>
      <w:r>
        <w:lastRenderedPageBreak/>
        <w:t xml:space="preserve">baterías (sistema de respaldo); Revisión, limpieza y pruebas de luces estroboscópicas; verificación de calibración del péndulo (panel): Test (simulacro del funcionamiento del sistema); DETALLE DE EQUIPOS: Un panel de alerta sísmico, modelo EQ-360-181; 20 sirenas de 30 watts; 30 luces estroboscópicas; un ups (sistema de respaldo); un amplificador reforzador de audio de 700 watts R.M.S; un codificador de energía 15 </w:t>
      </w:r>
      <w:proofErr w:type="spellStart"/>
      <w:r>
        <w:t>amp</w:t>
      </w:r>
      <w:proofErr w:type="spellEnd"/>
      <w:r>
        <w:t>.; una consola mezcladora de seis canales. MANTENIMIENTO CORRECTIVO: En caso de que se suministre equipo nuevo o se reparen los existentes como parte del mantenimiento correctivo, El Contratista deberá presentar a consideración del Administrador del Contrato la oferta de mantenimiento correctivo; una vez realizados los trabajos se requiere que El Contratista presente una carta de compromiso donde dará un año de garantía por los trabajos realizados después del mantenimiento correctivo.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3"/>
        </w:rPr>
        <w:t xml:space="preserve"> </w:t>
      </w:r>
      <w:r>
        <w:rPr>
          <w:rStyle w:val="CuerpodeltextoNegrita2"/>
        </w:rPr>
        <w:t>CLAUSULA SEGUNDA: DOCUMENTOS CONTRACTUALES</w:t>
      </w:r>
      <w:r>
        <w:rPr>
          <w:rStyle w:val="CuerpodeltextoNegrita3"/>
        </w:rPr>
        <w:t xml:space="preserve">. </w:t>
      </w:r>
      <w:r>
        <w:t xml:space="preserve">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w:t>
      </w:r>
      <w:r>
        <w:rPr>
          <w:rStyle w:val="Cuerpodeltexto1"/>
        </w:rPr>
        <w:t>antes</w:t>
      </w:r>
      <w:r>
        <w:t xml:space="preserve"> citada; d) Las adendas y las resoluciones modificativas, en su caso; e) El Acuerdo Número CINCUENTA Y SIETE de Nombramiento de Administrador de Contrato, emitido por el Órgano Ejecutivo en el Ramo de Gobernación y Desarrollo Territorial, en fecha quince de agosto de dos mil diecisiete; f) La Garantía de Cumplimiento de Contrato; y g) Cualquier otro documento que emanare del presente instrumento. En caso de controversia entre estos</w:t>
      </w:r>
    </w:p>
    <w:p w:rsidR="00CB4A30" w:rsidRDefault="00F5069A">
      <w:pPr>
        <w:pStyle w:val="Cuerpodeltexto0"/>
        <w:shd w:val="clear" w:color="auto" w:fill="auto"/>
        <w:spacing w:before="0" w:after="338" w:line="413" w:lineRule="exact"/>
        <w:ind w:left="200" w:right="180"/>
      </w:pPr>
      <w:proofErr w:type="gramStart"/>
      <w:r>
        <w:t>documentos</w:t>
      </w:r>
      <w:proofErr w:type="gramEnd"/>
      <w:r>
        <w:t xml:space="preserve"> y el contrato prevalecerá éste último.</w:t>
      </w:r>
      <w:r>
        <w:rPr>
          <w:rStyle w:val="CuerpodeltextoNegrita4"/>
        </w:rPr>
        <w:t xml:space="preserve"> </w:t>
      </w:r>
      <w:r>
        <w:rPr>
          <w:rStyle w:val="CuerpodeltextoNegrita5"/>
        </w:rPr>
        <w:t>CLAUSULA TERCERA: PLAZO Y VIGENCIA DEL CONTRATO.</w:t>
      </w:r>
      <w:r>
        <w:t xml:space="preserve"> El plazo para la prestación del servicio será: el primer mantenimiento preventivo comenzará cinco días calendario después de haber recibido la orden de inicio emitida por el Administrador del contrato, teniendo cinco días calendario para realizar los trabajos; el segundo mantenimiento se realizará en la primer semana del mes de diciembre de dos mil diecisiete. Obligándose las partes a cumplir con todas las condiciones establecidas en este contrato y demás documentos contractuales; asumiendo además, todas </w:t>
      </w:r>
      <w:r>
        <w:lastRenderedPageBreak/>
        <w:t>las responsabilidades que se deriven de este Instrumento. La vigencia del presente Contrato será a partir de la notificación de la legalización del mismo hasta el treinta y uno de diciembre de dos mil diecisiete.</w:t>
      </w:r>
      <w:r>
        <w:rPr>
          <w:rStyle w:val="CuerpodeltextoNegrita4"/>
        </w:rPr>
        <w:t xml:space="preserve"> </w:t>
      </w:r>
      <w:r>
        <w:rPr>
          <w:rStyle w:val="CuerpodeltextoNegrita5"/>
        </w:rPr>
        <w:t>CLAUSULA CUARTA: PRECIO Y FORMA DE PAGO.</w:t>
      </w:r>
      <w:r>
        <w:t xml:space="preserve"> El precio total a cancelar por la prestación del servicio objeto del presente Contrato es de</w:t>
      </w:r>
      <w:r>
        <w:rPr>
          <w:rStyle w:val="Cuerpodeltexto3"/>
        </w:rPr>
        <w:t xml:space="preserve"> hasta</w:t>
      </w:r>
      <w:r>
        <w:rPr>
          <w:rStyle w:val="CuerpodeltextoNegrita4"/>
        </w:rPr>
        <w:t xml:space="preserve"> TRES MIL 00/100 DOLARES DE LOS ESTADOS UNIDOS DE AMERICA (US$3,000.00),</w:t>
      </w:r>
      <w:r>
        <w:t xml:space="preserve"> valor que incluye el Impuesto a la Transferencia de Bienes Muebles y a la Prestación de Servicios (IVA), y que corresponde a la certificación total de fondos disponible para el presente proceso,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2299"/>
        <w:gridCol w:w="1901"/>
        <w:gridCol w:w="1200"/>
        <w:gridCol w:w="1330"/>
        <w:gridCol w:w="1550"/>
        <w:gridCol w:w="1142"/>
      </w:tblGrid>
      <w:tr w:rsidR="00CB4A30">
        <w:trPr>
          <w:trHeight w:val="739"/>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40"/>
              <w:framePr w:wrap="notBeside" w:vAnchor="text" w:hAnchor="text" w:xAlign="center" w:y="1"/>
              <w:shd w:val="clear" w:color="auto" w:fill="auto"/>
              <w:spacing w:line="240" w:lineRule="auto"/>
              <w:ind w:left="400" w:firstLine="0"/>
            </w:pPr>
            <w:r>
              <w:t>DEPENDENCIA</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40"/>
              <w:framePr w:wrap="notBeside" w:vAnchor="text" w:hAnchor="text" w:xAlign="center" w:y="1"/>
              <w:shd w:val="clear" w:color="auto" w:fill="auto"/>
              <w:spacing w:line="240" w:lineRule="auto"/>
              <w:ind w:firstLine="0"/>
              <w:jc w:val="both"/>
            </w:pPr>
            <w:r>
              <w:t>Cantidad</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40"/>
              <w:framePr w:wrap="notBeside" w:vAnchor="text" w:hAnchor="text" w:xAlign="center" w:y="1"/>
              <w:shd w:val="clear" w:color="auto" w:fill="auto"/>
              <w:spacing w:line="240" w:lineRule="exact"/>
              <w:ind w:firstLine="0"/>
              <w:jc w:val="both"/>
            </w:pPr>
            <w:r>
              <w:t>Precio Unitario C/IVA</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40"/>
              <w:framePr w:wrap="notBeside" w:vAnchor="text" w:hAnchor="text" w:xAlign="center" w:y="1"/>
              <w:shd w:val="clear" w:color="auto" w:fill="auto"/>
              <w:spacing w:line="240" w:lineRule="auto"/>
              <w:ind w:left="120" w:firstLine="0"/>
            </w:pPr>
            <w:r>
              <w:t>Total C/IVA</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40"/>
              <w:framePr w:wrap="notBeside" w:vAnchor="text" w:hAnchor="text" w:xAlign="center" w:y="1"/>
              <w:shd w:val="clear" w:color="auto" w:fill="auto"/>
              <w:spacing w:line="240" w:lineRule="exact"/>
              <w:ind w:left="380"/>
            </w:pPr>
            <w:r>
              <w:t xml:space="preserve">Disponibilidad </w:t>
            </w:r>
            <w:proofErr w:type="spellStart"/>
            <w:r>
              <w:t>Mantto</w:t>
            </w:r>
            <w:proofErr w:type="spellEnd"/>
            <w:r>
              <w:t>. Correctivo</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40"/>
              <w:framePr w:wrap="notBeside" w:vAnchor="text" w:hAnchor="text" w:xAlign="center" w:y="1"/>
              <w:shd w:val="clear" w:color="auto" w:fill="auto"/>
              <w:spacing w:line="240" w:lineRule="exact"/>
              <w:ind w:firstLine="0"/>
              <w:jc w:val="both"/>
            </w:pPr>
            <w:r>
              <w:t>TOTAL US$ IVA incluido</w:t>
            </w:r>
          </w:p>
        </w:tc>
      </w:tr>
      <w:tr w:rsidR="00CB4A30">
        <w:trPr>
          <w:trHeight w:val="1013"/>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31"/>
              <w:framePr w:wrap="notBeside" w:vAnchor="text" w:hAnchor="text" w:xAlign="center" w:y="1"/>
              <w:shd w:val="clear" w:color="auto" w:fill="auto"/>
              <w:ind w:left="80"/>
            </w:pPr>
            <w:r>
              <w:t>MINISTERIO DE GOBERNACIÓN Y DESARROLLO TERRITORIAL</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31"/>
              <w:framePr w:wrap="notBeside" w:vAnchor="text" w:hAnchor="text" w:xAlign="center" w:y="1"/>
              <w:shd w:val="clear" w:color="auto" w:fill="auto"/>
              <w:jc w:val="both"/>
            </w:pPr>
            <w:r>
              <w:t>Dos servicios de mantenimiento preventivo</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31"/>
              <w:framePr w:wrap="notBeside" w:vAnchor="text" w:hAnchor="text" w:xAlign="center" w:y="1"/>
              <w:shd w:val="clear" w:color="auto" w:fill="auto"/>
              <w:spacing w:line="240" w:lineRule="auto"/>
              <w:jc w:val="both"/>
            </w:pPr>
            <w:r>
              <w:t>$904.00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31"/>
              <w:framePr w:wrap="notBeside" w:vAnchor="text" w:hAnchor="text" w:xAlign="center" w:y="1"/>
              <w:shd w:val="clear" w:color="auto" w:fill="auto"/>
              <w:spacing w:line="240" w:lineRule="auto"/>
              <w:ind w:left="280"/>
            </w:pPr>
            <w:r>
              <w:rPr>
                <w:lang w:val="de"/>
              </w:rPr>
              <w:t>$1,808.00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31"/>
              <w:framePr w:wrap="notBeside" w:vAnchor="text" w:hAnchor="text" w:xAlign="center" w:y="1"/>
              <w:shd w:val="clear" w:color="auto" w:fill="auto"/>
              <w:spacing w:line="240" w:lineRule="auto"/>
              <w:ind w:left="380"/>
            </w:pPr>
            <w:r>
              <w:t>$1,192.00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B4A30" w:rsidRDefault="00F5069A">
            <w:pPr>
              <w:pStyle w:val="Cuerpodeltexto31"/>
              <w:framePr w:wrap="notBeside" w:vAnchor="text" w:hAnchor="text" w:xAlign="center" w:y="1"/>
              <w:shd w:val="clear" w:color="auto" w:fill="auto"/>
              <w:spacing w:line="240" w:lineRule="auto"/>
              <w:jc w:val="both"/>
            </w:pPr>
            <w:r>
              <w:rPr>
                <w:lang w:val="de"/>
              </w:rPr>
              <w:t>$3,000.00</w:t>
            </w:r>
          </w:p>
        </w:tc>
      </w:tr>
    </w:tbl>
    <w:p w:rsidR="00CB4A30" w:rsidRDefault="00CB4A30">
      <w:pPr>
        <w:rPr>
          <w:sz w:val="2"/>
          <w:szCs w:val="2"/>
        </w:rPr>
      </w:pPr>
    </w:p>
    <w:p w:rsidR="00CB4A30" w:rsidRDefault="00F5069A">
      <w:pPr>
        <w:pStyle w:val="Cuerpodeltexto0"/>
        <w:shd w:val="clear" w:color="auto" w:fill="auto"/>
        <w:spacing w:before="252"/>
        <w:ind w:left="200" w:right="180"/>
      </w:pPr>
      <w:r>
        <w:t>El pago para el servicio del mantenimiento preventivo se efectuará de acuerdo a lo ofertado y al servicio efectivamente recibido, y para el servicio de Mantenimiento Correctivo en base a las rutinas correctivas realizadas. Dicho monto será cancelado por EL MINISTERIO, a través de la Unidad Financiera Institucional y de las Pagadurías Auxiliares de cada Dependencia (si 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w:t>
      </w:r>
      <w:r>
        <w:rPr>
          <w:rStyle w:val="CuerpodeltextoNegrita4"/>
        </w:rPr>
        <w:t xml:space="preserve"> EL CONTRATISTA.</w:t>
      </w:r>
      <w:r>
        <w:t xml:space="preserve"> Asimismo, el precio queda sujeto a cualquier impuesto, relativo a la prestación de servicios y/o</w:t>
      </w:r>
    </w:p>
    <w:p w:rsidR="00CB4A30" w:rsidRDefault="00F5069A">
      <w:pPr>
        <w:pStyle w:val="Cuerpodeltexto0"/>
        <w:shd w:val="clear" w:color="auto" w:fill="auto"/>
        <w:spacing w:before="0"/>
        <w:ind w:left="20"/>
      </w:pPr>
      <w:proofErr w:type="gramStart"/>
      <w:r>
        <w:t>adquisición</w:t>
      </w:r>
      <w:proofErr w:type="gramEnd"/>
      <w:r>
        <w:t xml:space="preserve">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w:t>
      </w:r>
      <w:r>
        <w:lastRenderedPageBreak/>
        <w:t>dicho Impuesto, en toda factura igual o mayor a Cien Dólares de los Estados Unidos de América que se presente al cobro, en cumplimiento a lo que dispone el artículo 162 del Código Tributario.</w:t>
      </w:r>
      <w:r>
        <w:rPr>
          <w:rStyle w:val="CuerpodeltextoNegrita6"/>
        </w:rPr>
        <w:t xml:space="preserve"> </w:t>
      </w:r>
      <w:r>
        <w:rPr>
          <w:rStyle w:val="CuerpodeltextoNegrita7"/>
        </w:rPr>
        <w:t>CLAUSULA QUINTA: PROVISIÓN DE PAGO.</w:t>
      </w:r>
      <w:r>
        <w:t xml:space="preserve"> El gasto indicado será cancelado con cargo a la disponibilidad presupuestaria certificada por la Unidad Financiera Institucional para el presente proceso.</w:t>
      </w:r>
      <w:r>
        <w:rPr>
          <w:rStyle w:val="CuerpodeltextoNegrita6"/>
        </w:rPr>
        <w:t xml:space="preserve"> </w:t>
      </w:r>
      <w:r>
        <w:rPr>
          <w:rStyle w:val="CuerpodeltextoNegrita7"/>
        </w:rPr>
        <w:t>CLAUSULA SEXTA: OBLIGACIONES DE EL CONTRATISTA.</w:t>
      </w:r>
      <w:r>
        <w:rPr>
          <w:rStyle w:val="CuerpodeltextoNegrita6"/>
        </w:rPr>
        <w:t xml:space="preserve">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y según las cantidades y requerimientos mínimos establecidos en los Términos de Referencia, tanto para el Servicio de Mantenimiento Preventivo y Correctivo, así mismo de conformidad a todos los documentos contractuales. El servicio deberá realizarse dos veces al año, todo en coordinación con el Administrador del Contrato. En todo caso EL CONTRATISTA garantizará la calidad del servicio que preste, debiendo estar éste, conforme a lo ofertado y a las especificaciones técnicas requeridas y demás condiciones establecidas en los Términos de Referencia.</w:t>
      </w:r>
      <w:r>
        <w:rPr>
          <w:rStyle w:val="CuerpodeltextoNegrita6"/>
        </w:rPr>
        <w:t xml:space="preserve"> </w:t>
      </w:r>
      <w:r>
        <w:rPr>
          <w:rStyle w:val="CuerpodeltextoNegrita7"/>
        </w:rPr>
        <w:t>CLÁUSULA SÉPTIMA: COMPROMISOS DE EL MINISTERIO Y PLAZO DE RECLAMOS.</w:t>
      </w:r>
      <w: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8"/>
        </w:rPr>
        <w:t xml:space="preserve"> </w:t>
      </w:r>
      <w:r>
        <w:rPr>
          <w:rStyle w:val="CuerpodeltextoNegrita9"/>
        </w:rPr>
        <w:t>CLAUSULA OCTAVA: GARANTÍA DE CUMPLIMIENTO DE CONTRATO.</w:t>
      </w:r>
      <w:r>
        <w:t xml:space="preserve"> Dentro de los diez (10) días hábiles siguientes a la notificación de la legalización del Contrato, EL CONTRATISTA deberá presentar a favor de EL MINISTERIO, en la Unidad de Adquisiciones y Contrataciones Institucional (UACI), la Garantía de Cumplimiento de Contrato, por un valor de</w:t>
      </w:r>
      <w:r>
        <w:rPr>
          <w:rStyle w:val="CuerpodeltextoNegrita8"/>
        </w:rPr>
        <w:t xml:space="preserve"> TRESCIENTOS 00/100 DÓLARES DE LOS ESTADOS UNIDOS DE AMÉRICA (US$300.00)</w:t>
      </w:r>
      <w:r>
        <w:t xml:space="preserve"> equivalente al diez por ciento (10%)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8"/>
        </w:rPr>
        <w:t xml:space="preserve"> </w:t>
      </w:r>
      <w:r>
        <w:rPr>
          <w:rStyle w:val="CuerpodeltextoNegrita9"/>
        </w:rPr>
        <w:lastRenderedPageBreak/>
        <w:t>CLAUSULA NOVENA: ADMINISTRADOR DEL CONTRATO:</w:t>
      </w:r>
      <w:r>
        <w:t xml:space="preserve"> La administración del presente contrato según Acuerdo Número CINCUENTA Y SIETE, antes citado, estará a cargo del Ingeniero JOSE FERNANDO MONTANO,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a"/>
        </w:rPr>
        <w:t xml:space="preserve"> </w:t>
      </w:r>
      <w:r>
        <w:rPr>
          <w:rStyle w:val="CuerpodeltextoNegritab"/>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w:t>
      </w:r>
      <w:r>
        <w:lastRenderedPageBreak/>
        <w:t>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a"/>
        </w:rPr>
        <w:t xml:space="preserve"> </w:t>
      </w:r>
      <w:r>
        <w:rPr>
          <w:rStyle w:val="CuerpodeltextoNegritab"/>
        </w:rPr>
        <w:t xml:space="preserve">CLÁUSULA DÉCIMA PRIMERA: MODIFICACIÓN Y/O PRÓRROGA. </w:t>
      </w:r>
      <w:r>
        <w:t xml:space="preserve">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 </w:t>
      </w:r>
      <w:r>
        <w:rPr>
          <w:rStyle w:val="CuerpodeltextoNegritab"/>
        </w:rPr>
        <w:t>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w:t>
      </w:r>
    </w:p>
    <w:p w:rsidR="00CB4A30" w:rsidRDefault="00F5069A">
      <w:pPr>
        <w:pStyle w:val="Cuerpodeltexto0"/>
        <w:shd w:val="clear" w:color="auto" w:fill="auto"/>
        <w:spacing w:before="0" w:after="1435"/>
        <w:ind w:right="20"/>
      </w:pPr>
      <w:r>
        <w:t>Resolución, esta operará siempre que el plazo de las garantías que se hayan constituido a favor de EL MINISTERIO asegure las obligaciones.</w:t>
      </w:r>
      <w:r>
        <w:rPr>
          <w:rStyle w:val="CuerpodeltextoNegritac"/>
        </w:rPr>
        <w:t xml:space="preserve"> </w:t>
      </w:r>
      <w:r>
        <w:rPr>
          <w:rStyle w:val="CuerpodeltextoNegritad"/>
        </w:rPr>
        <w:t>CLÁUSULA DÉCIMA 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Negritac"/>
        </w:rPr>
        <w:t xml:space="preserve"> </w:t>
      </w:r>
      <w:r>
        <w:rPr>
          <w:rStyle w:val="CuerpodeltextoNegritad"/>
        </w:rPr>
        <w:t>CLÁUSULA DÉCIMA CUARTA: INTERPRETACIÓN DEL CONTRATO.</w:t>
      </w:r>
      <w:r>
        <w:t xml:space="preserve"> EL MINISTERIO se reserva la facultad de interpretar el presente Contrato de conformidad a la Constitución de la República, la LACAP, demás </w:t>
      </w:r>
      <w:r>
        <w:lastRenderedPageBreak/>
        <w:t>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MINISTERIO las cuales serán comunicadas por medio de la Directora de la Unidad de Adquisiciones y Contrataciones Institucional.</w:t>
      </w:r>
      <w:r>
        <w:rPr>
          <w:rStyle w:val="CuerpodeltextoNegritac"/>
        </w:rPr>
        <w:t xml:space="preserve"> </w:t>
      </w:r>
      <w:r>
        <w:rPr>
          <w:rStyle w:val="CuerpodeltextoNegritad"/>
        </w:rPr>
        <w:t>CLÁUSULA DÉCIMA QUINTA: SOLUCIÓN DE CONFLICTOS.</w:t>
      </w:r>
      <w:r>
        <w:rPr>
          <w:rStyle w:val="Cuerpodeltexto5"/>
        </w:rPr>
        <w:t xml:space="preserve"> Toda duda, discrepancia</w:t>
      </w:r>
      <w:r>
        <w:t xml:space="preserve">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c"/>
        </w:rPr>
        <w:t xml:space="preserve"> </w:t>
      </w:r>
      <w:r>
        <w:rPr>
          <w:rStyle w:val="CuerpodeltextoNegritad"/>
        </w:rPr>
        <w:t xml:space="preserve">CLÁUSULA DÉCIMA SEXTA: TERMINACIÓN DEL CONTRATO. </w:t>
      </w:r>
      <w:r>
        <w:t>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w:t>
      </w:r>
      <w:r>
        <w:rPr>
          <w:rStyle w:val="CuerpodeltextoNegritae"/>
        </w:rPr>
        <w:t xml:space="preserve"> </w:t>
      </w:r>
      <w:r>
        <w:rPr>
          <w:rStyle w:val="CuerpodeltextoNegritaf"/>
        </w:rPr>
        <w:t>CLÁUSULA DÉCIMA SEPTIMA: LEGISLACIÓN APLICABLE.</w:t>
      </w:r>
      <w:r>
        <w:t xml:space="preserve"> Las partes se someten a la legislación vigente de la República de El Salvador.</w:t>
      </w:r>
      <w:r>
        <w:rPr>
          <w:rStyle w:val="CuerpodeltextoNegritae"/>
        </w:rPr>
        <w:t xml:space="preserve"> </w:t>
      </w:r>
      <w:r>
        <w:rPr>
          <w:rStyle w:val="CuerpodeltextoNegritaf"/>
        </w:rPr>
        <w:t>CLAUSULA DECIMA OCTAVA: CONDICIONES DE PREVENCION Y ERRADICACION DEL TRABAJO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w:t>
      </w:r>
      <w:r>
        <w:lastRenderedPageBreak/>
        <w:t>sancionatorio y en éste último caso deberá finalizar el procedimiento para conocer la resolución final</w:t>
      </w:r>
      <w:r>
        <w:rPr>
          <w:rStyle w:val="CuerpodeltextoNegritae"/>
        </w:rPr>
        <w:t xml:space="preserve"> </w:t>
      </w:r>
      <w:r>
        <w:rPr>
          <w:rStyle w:val="CuerpodeltextoNegritaf"/>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83 Avenida Norte, N° 369, Colonia Escalón, San Salvador. En fe de lo cual firmamos el presente Contrato, en la ciudad de San Salvador, a los dieciséis días del mes de agosto de dos mil diecisiete.</w:t>
      </w:r>
    </w:p>
    <w:p w:rsidR="00CB4A30" w:rsidRDefault="0044020D">
      <w:pPr>
        <w:pStyle w:val="Ttulo10"/>
        <w:keepNext/>
        <w:keepLines/>
        <w:shd w:val="clear" w:color="auto" w:fill="auto"/>
        <w:spacing w:before="0" w:after="184"/>
        <w:ind w:left="1240" w:right="3980"/>
      </w:pPr>
      <w:bookmarkStart w:id="1" w:name="bookmark0"/>
      <w:r>
        <w:t>-</w:t>
      </w:r>
      <w:r w:rsidR="00F5069A">
        <w:t xml:space="preserve"> EL MINISTERIO</w:t>
      </w:r>
      <w:bookmarkEnd w:id="1"/>
    </w:p>
    <w:p w:rsidR="00CB4A30" w:rsidRDefault="00CB4A30">
      <w:pPr>
        <w:pStyle w:val="Cuerpodeltexto40"/>
        <w:shd w:val="clear" w:color="auto" w:fill="auto"/>
        <w:spacing w:line="259" w:lineRule="exact"/>
        <w:ind w:left="5080" w:right="20" w:firstLine="0"/>
        <w:jc w:val="right"/>
      </w:pPr>
    </w:p>
    <w:p w:rsidR="00CB4A30" w:rsidRDefault="00F5069A">
      <w:pPr>
        <w:pStyle w:val="Ttulo10"/>
        <w:keepNext/>
        <w:keepLines/>
        <w:shd w:val="clear" w:color="auto" w:fill="auto"/>
        <w:spacing w:before="0" w:after="0" w:line="259" w:lineRule="exact"/>
        <w:ind w:right="20" w:firstLine="0"/>
        <w:jc w:val="right"/>
      </w:pPr>
      <w:bookmarkStart w:id="2" w:name="bookmark1"/>
      <w:r>
        <w:t>EL CONTRATISTA</w:t>
      </w:r>
      <w:bookmarkEnd w:id="2"/>
    </w:p>
    <w:sectPr w:rsidR="00CB4A30">
      <w:footerReference w:type="default" r:id="rId8"/>
      <w:type w:val="continuous"/>
      <w:pgSz w:w="11905" w:h="16837"/>
      <w:pgMar w:top="1490" w:right="1236" w:bottom="1482" w:left="12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8F" w:rsidRDefault="001E338F">
      <w:r>
        <w:separator/>
      </w:r>
    </w:p>
  </w:endnote>
  <w:endnote w:type="continuationSeparator" w:id="0">
    <w:p w:rsidR="001E338F" w:rsidRDefault="001E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30" w:rsidRDefault="00F5069A">
    <w:pPr>
      <w:pStyle w:val="Encabezamientoopiedepgina0"/>
      <w:framePr w:w="12216" w:h="168" w:wrap="none" w:vAnchor="text" w:hAnchor="page" w:x="-154" w:y="-1242"/>
      <w:shd w:val="clear" w:color="auto" w:fill="auto"/>
      <w:ind w:left="10378"/>
    </w:pPr>
    <w:r>
      <w:fldChar w:fldCharType="begin"/>
    </w:r>
    <w:r>
      <w:instrText xml:space="preserve"> PAGE \* MERGEFORMAT </w:instrText>
    </w:r>
    <w:r>
      <w:fldChar w:fldCharType="separate"/>
    </w:r>
    <w:r w:rsidR="007A49F8" w:rsidRPr="007A49F8">
      <w:rPr>
        <w:rStyle w:val="EncabezamientoopiedepginaPalatinoLinotype"/>
        <w:noProof/>
      </w:rPr>
      <w:t>1</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8F" w:rsidRDefault="001E338F"/>
  </w:footnote>
  <w:footnote w:type="continuationSeparator" w:id="0">
    <w:p w:rsidR="001E338F" w:rsidRDefault="001E33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30"/>
    <w:rsid w:val="001E338F"/>
    <w:rsid w:val="0044020D"/>
    <w:rsid w:val="006A7211"/>
    <w:rsid w:val="007A49F8"/>
    <w:rsid w:val="00932FBB"/>
    <w:rsid w:val="00CB4A30"/>
    <w:rsid w:val="00F506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5 pto"/>
    <w:basedOn w:val="Encabezamientoopiedepgina"/>
    <w:rPr>
      <w:rFonts w:ascii="Palatino Linotype" w:eastAsia="Palatino Linotype" w:hAnsi="Palatino Linotype" w:cs="Palatino Linotype"/>
      <w:b w:val="0"/>
      <w:bCs w:val="0"/>
      <w:i w:val="0"/>
      <w:iCs w:val="0"/>
      <w:smallCaps w:val="0"/>
      <w:strike w:val="0"/>
      <w:sz w:val="23"/>
      <w:szCs w:val="23"/>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30">
    <w:name w:val="Cuerpo del texto (3)_"/>
    <w:basedOn w:val="Fuentedeprrafopredeter"/>
    <w:link w:val="Cuerpodeltexto31"/>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5">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11pto">
    <w:name w:val="Cuerpo del texto (4) + 11 pto"/>
    <w:basedOn w:val="Cuerpodeltexto4"/>
    <w:rPr>
      <w:rFonts w:ascii="Palatino Linotype" w:eastAsia="Palatino Linotype" w:hAnsi="Palatino Linotype" w:cs="Palatino Linotype"/>
      <w:b w:val="0"/>
      <w:bCs w:val="0"/>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after="24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08" w:lineRule="exact"/>
      <w:jc w:val="both"/>
    </w:pPr>
    <w:rPr>
      <w:rFonts w:ascii="Palatino Linotype" w:eastAsia="Palatino Linotype" w:hAnsi="Palatino Linotype" w:cs="Palatino Linotype"/>
      <w:sz w:val="22"/>
      <w:szCs w:val="22"/>
    </w:rPr>
  </w:style>
  <w:style w:type="paragraph" w:customStyle="1" w:styleId="Cuerpodeltexto40">
    <w:name w:val="Cuerpo del texto (4)"/>
    <w:basedOn w:val="Normal"/>
    <w:link w:val="Cuerpodeltexto4"/>
    <w:pPr>
      <w:shd w:val="clear" w:color="auto" w:fill="FFFFFF"/>
      <w:spacing w:line="0" w:lineRule="atLeast"/>
      <w:ind w:hanging="300"/>
    </w:pPr>
    <w:rPr>
      <w:rFonts w:ascii="Palatino Linotype" w:eastAsia="Palatino Linotype" w:hAnsi="Palatino Linotype" w:cs="Palatino Linotype"/>
      <w:b/>
      <w:bCs/>
      <w:sz w:val="20"/>
      <w:szCs w:val="20"/>
    </w:rPr>
  </w:style>
  <w:style w:type="paragraph" w:customStyle="1" w:styleId="Cuerpodeltexto31">
    <w:name w:val="Cuerpo del texto (3)"/>
    <w:basedOn w:val="Normal"/>
    <w:link w:val="Cuerpodeltexto30"/>
    <w:pPr>
      <w:shd w:val="clear" w:color="auto" w:fill="FFFFFF"/>
      <w:spacing w:line="245" w:lineRule="exact"/>
    </w:pPr>
    <w:rPr>
      <w:rFonts w:ascii="Palatino Linotype" w:eastAsia="Palatino Linotype" w:hAnsi="Palatino Linotype" w:cs="Palatino Linotype"/>
      <w:sz w:val="20"/>
      <w:szCs w:val="20"/>
    </w:rPr>
  </w:style>
  <w:style w:type="paragraph" w:customStyle="1" w:styleId="Ttulo10">
    <w:name w:val="Título #1"/>
    <w:basedOn w:val="Normal"/>
    <w:link w:val="Ttulo1"/>
    <w:pPr>
      <w:shd w:val="clear" w:color="auto" w:fill="FFFFFF"/>
      <w:spacing w:before="1320" w:after="180" w:line="264" w:lineRule="exact"/>
      <w:ind w:hanging="1220"/>
      <w:outlineLvl w:val="0"/>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44020D"/>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2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5 pto"/>
    <w:basedOn w:val="Encabezamientoopiedepgina"/>
    <w:rPr>
      <w:rFonts w:ascii="Palatino Linotype" w:eastAsia="Palatino Linotype" w:hAnsi="Palatino Linotype" w:cs="Palatino Linotype"/>
      <w:b w:val="0"/>
      <w:bCs w:val="0"/>
      <w:i w:val="0"/>
      <w:iCs w:val="0"/>
      <w:smallCaps w:val="0"/>
      <w:strike w:val="0"/>
      <w:sz w:val="23"/>
      <w:szCs w:val="23"/>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30">
    <w:name w:val="Cuerpo del texto (3)_"/>
    <w:basedOn w:val="Fuentedeprrafopredeter"/>
    <w:link w:val="Cuerpodeltexto31"/>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5">
    <w:name w:val="Cuerpo del texto"/>
    <w:basedOn w:val="Cuerpodeltexto"/>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11pto">
    <w:name w:val="Cuerpo del texto (4) + 11 pto"/>
    <w:basedOn w:val="Cuerpodeltexto4"/>
    <w:rPr>
      <w:rFonts w:ascii="Palatino Linotype" w:eastAsia="Palatino Linotype" w:hAnsi="Palatino Linotype" w:cs="Palatino Linotype"/>
      <w:b w:val="0"/>
      <w:bCs w:val="0"/>
      <w:i w:val="0"/>
      <w:iCs w:val="0"/>
      <w:smallCaps w:val="0"/>
      <w:strike w:val="0"/>
      <w:spacing w:val="0"/>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after="24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08" w:lineRule="exact"/>
      <w:jc w:val="both"/>
    </w:pPr>
    <w:rPr>
      <w:rFonts w:ascii="Palatino Linotype" w:eastAsia="Palatino Linotype" w:hAnsi="Palatino Linotype" w:cs="Palatino Linotype"/>
      <w:sz w:val="22"/>
      <w:szCs w:val="22"/>
    </w:rPr>
  </w:style>
  <w:style w:type="paragraph" w:customStyle="1" w:styleId="Cuerpodeltexto40">
    <w:name w:val="Cuerpo del texto (4)"/>
    <w:basedOn w:val="Normal"/>
    <w:link w:val="Cuerpodeltexto4"/>
    <w:pPr>
      <w:shd w:val="clear" w:color="auto" w:fill="FFFFFF"/>
      <w:spacing w:line="0" w:lineRule="atLeast"/>
      <w:ind w:hanging="300"/>
    </w:pPr>
    <w:rPr>
      <w:rFonts w:ascii="Palatino Linotype" w:eastAsia="Palatino Linotype" w:hAnsi="Palatino Linotype" w:cs="Palatino Linotype"/>
      <w:b/>
      <w:bCs/>
      <w:sz w:val="20"/>
      <w:szCs w:val="20"/>
    </w:rPr>
  </w:style>
  <w:style w:type="paragraph" w:customStyle="1" w:styleId="Cuerpodeltexto31">
    <w:name w:val="Cuerpo del texto (3)"/>
    <w:basedOn w:val="Normal"/>
    <w:link w:val="Cuerpodeltexto30"/>
    <w:pPr>
      <w:shd w:val="clear" w:color="auto" w:fill="FFFFFF"/>
      <w:spacing w:line="245" w:lineRule="exact"/>
    </w:pPr>
    <w:rPr>
      <w:rFonts w:ascii="Palatino Linotype" w:eastAsia="Palatino Linotype" w:hAnsi="Palatino Linotype" w:cs="Palatino Linotype"/>
      <w:sz w:val="20"/>
      <w:szCs w:val="20"/>
    </w:rPr>
  </w:style>
  <w:style w:type="paragraph" w:customStyle="1" w:styleId="Ttulo10">
    <w:name w:val="Título #1"/>
    <w:basedOn w:val="Normal"/>
    <w:link w:val="Ttulo1"/>
    <w:pPr>
      <w:shd w:val="clear" w:color="auto" w:fill="FFFFFF"/>
      <w:spacing w:before="1320" w:after="180" w:line="264" w:lineRule="exact"/>
      <w:ind w:hanging="1220"/>
      <w:outlineLvl w:val="0"/>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44020D"/>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2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3654</Words>
  <Characters>20098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2018-01-03T20:22:00Z</dcterms:created>
  <dcterms:modified xsi:type="dcterms:W3CDTF">2018-01-03T20:22:00Z</dcterms:modified>
</cp:coreProperties>
</file>