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6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-7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17"/>
          <w:sz w:val="17"/>
          <w:vertAlign w:val="baseline"/>
          <w:lang w:val="es-ES"/>
        </w:rPr>
        <w:t>MINISTERIO DE SALUD PUBLICA Y ASISTENCIA SOCIAL</w:t>
      </w:r>
      <w:r/>
    </w:p>
    <w:p>
      <w:pPr>
        <w:pStyle w:val="Normal"/>
        <w:spacing w:lineRule="auto" w:line="194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-6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es-ES"/>
        </w:rPr>
        <w:t>UNIDAD FINANCIERA INSTITUCIONAL</w:t>
      </w:r>
      <w:r/>
    </w:p>
    <w:p>
      <w:pPr>
        <w:pStyle w:val="Normal"/>
        <w:spacing w:lineRule="auto" w:line="196" w:before="108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-8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8"/>
          <w:w w:val="100"/>
          <w:position w:val="0"/>
          <w:sz w:val="17"/>
          <w:sz w:val="17"/>
          <w:vertAlign w:val="baseline"/>
          <w:lang w:val="es-ES"/>
        </w:rPr>
        <w:t>INSTITUCIONES SUBSIDIADAS</w:t>
      </w:r>
      <w:r/>
    </w:p>
    <w:p>
      <w:pPr>
        <w:pStyle w:val="Normal"/>
        <w:spacing w:lineRule="auto" w:line="204" w:before="72" w:after="0"/>
        <w:ind w:left="0" w:right="0" w:hanging="0"/>
        <w:jc w:val="center"/>
      </w:pP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 xml:space="preserve">INFORME DE </w:t>
      </w: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>EJECUCIÓN</w:t>
      </w: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 xml:space="preserve"> FINANCIERA POR TIPO DE GASTO</w:t>
      </w:r>
      <w:r/>
    </w:p>
    <w:p>
      <w:pPr>
        <w:pStyle w:val="Normal"/>
        <w:spacing w:lineRule="auto" w:line="240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-4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s-ES"/>
        </w:rPr>
        <w:t>(Cifras en Dolares)</w:t>
      </w:r>
      <w:r/>
    </w:p>
    <w:p>
      <w:pPr>
        <w:pStyle w:val="Normal"/>
        <w:spacing w:lineRule="auto" w:line="240" w:before="36" w:after="0"/>
        <w:ind w:left="72" w:right="0" w:hanging="0"/>
        <w:jc w:val="left"/>
        <w:rPr>
          <w:dstrike w:val="false"/>
          <w:strike w:val="false"/>
          <w:vertAlign w:val="baseline"/>
          <w:position w:val="0"/>
          <w:sz w:val="22"/>
          <w:sz w:val="17"/>
          <w:spacing w:val="-9"/>
          <w:b/>
          <w:shd w:fill="FFFFFF" w:val="clear"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9"/>
          <w:w w:val="100"/>
          <w:position w:val="0"/>
          <w:sz w:val="17"/>
          <w:sz w:val="17"/>
          <w:vertAlign w:val="baseline"/>
          <w:lang w:val="es-ES"/>
        </w:rPr>
        <w:t xml:space="preserve">INSTITUCION: </w:t>
      </w:r>
      <w:r>
        <w:rPr>
          <w:rFonts w:ascii="Times New Roman" w:hAnsi="Times New Roman"/>
          <w:strike w:val="false"/>
          <w:dstrike w:val="false"/>
          <w:color w:val="000000"/>
          <w:spacing w:val="-9"/>
          <w:w w:val="100"/>
          <w:position w:val="0"/>
          <w:sz w:val="18"/>
          <w:sz w:val="18"/>
          <w:vertAlign w:val="baseline"/>
          <w:lang w:val="es-ES"/>
        </w:rPr>
        <w:t xml:space="preserve">ASOCIACIÓN SALVADOREÑA </w:t>
      </w:r>
      <w:r>
        <w:rPr>
          <w:rFonts w:ascii="Times New Roman" w:hAnsi="Times New Roman"/>
          <w:b/>
          <w:strike w:val="false"/>
          <w:dstrike w:val="false"/>
          <w:color w:val="000000"/>
          <w:spacing w:val="-9"/>
          <w:w w:val="100"/>
          <w:position w:val="0"/>
          <w:sz w:val="18"/>
          <w:sz w:val="18"/>
          <w:vertAlign w:val="baseline"/>
          <w:lang w:val="es-ES"/>
        </w:rPr>
        <w:t>DE AYUDA HUMANITARIA. PRO</w:t>
      </w:r>
      <w:r>
        <w:rPr>
          <w:rFonts w:ascii="Times New Roman" w:hAnsi="Times New Roman"/>
          <w:b/>
          <w:strike w:val="false"/>
          <w:dstrike w:val="false"/>
          <w:color w:val="000000"/>
          <w:spacing w:val="-9"/>
          <w:w w:val="100"/>
          <w:position w:val="0"/>
          <w:sz w:val="6"/>
          <w:sz w:val="6"/>
          <w:vertAlign w:val="baseline"/>
          <w:lang w:val="es-ES"/>
        </w:rPr>
        <w:t>-</w:t>
      </w:r>
      <w:r>
        <w:rPr>
          <w:rFonts w:ascii="Times New Roman" w:hAnsi="Times New Roman"/>
          <w:b/>
          <w:strike w:val="false"/>
          <w:dstrike w:val="false"/>
          <w:color w:val="000000"/>
          <w:spacing w:val="-9"/>
          <w:w w:val="100"/>
          <w:position w:val="0"/>
          <w:sz w:val="18"/>
          <w:sz w:val="18"/>
          <w:vertAlign w:val="baseline"/>
          <w:lang w:val="es-ES"/>
        </w:rPr>
        <w:t>VIDA</w:t>
      </w:r>
      <w:r/>
    </w:p>
    <w:p>
      <w:pPr>
        <w:pStyle w:val="Normal"/>
        <w:tabs>
          <w:tab w:val="right" w:pos="9278" w:leader="none"/>
        </w:tabs>
        <w:spacing w:lineRule="auto" w:line="240" w:before="72" w:after="0"/>
        <w:ind w:left="72" w:right="0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-6"/>
          <w:b/>
          <w:sz w:val="18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18"/>
          <w:sz w:val="18"/>
          <w:shd w:fill="FFFFFF" w:val="clear"/>
          <w:vertAlign w:val="baseline"/>
          <w:lang w:val="es-ES"/>
        </w:rPr>
        <w:t xml:space="preserve">PERIODO INFORMADO: ENERO, </w:t>
      </w:r>
      <w:r>
        <w:rPr>
          <w:rFonts w:ascii="Tahoma" w:hAnsi="Tahoma"/>
          <w:b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shd w:fill="FFFFFF" w:val="clear"/>
          <w:vertAlign w:val="baseline"/>
          <w:lang w:val="es-ES"/>
        </w:rPr>
        <w:t>FEBREO, MARZO Y HASTA LA FECHA 10 DE ABRIL</w:t>
        <w:tab/>
      </w:r>
      <w:r>
        <w:rPr>
          <w:rFonts w:ascii="Tahoma" w:hAnsi="Tahoma"/>
          <w:b/>
          <w:strike w:val="false"/>
          <w:dstrike w:val="false"/>
          <w:color w:val="000000"/>
          <w:spacing w:val="-8"/>
          <w:w w:val="100"/>
          <w:position w:val="0"/>
          <w:sz w:val="17"/>
          <w:sz w:val="17"/>
          <w:shd w:fill="FFFFFF" w:val="clear"/>
          <w:vertAlign w:val="baseline"/>
          <w:lang w:val="es-ES"/>
        </w:rPr>
        <w:t>EJERCICIO FISCAL: 2016</w:t>
      </w:r>
      <w:r/>
    </w:p>
    <w:tbl>
      <w:tblPr>
        <w:tblW w:w="10264" w:type="dxa"/>
        <w:jc w:val="left"/>
        <w:tblInd w:w="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460"/>
        <w:gridCol w:w="5108"/>
        <w:gridCol w:w="1670"/>
        <w:gridCol w:w="1601"/>
        <w:gridCol w:w="1425"/>
      </w:tblGrid>
      <w:tr>
        <w:trPr>
          <w:trHeight w:val="274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No.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5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6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TIPOS DE GASTOS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6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INGRESOS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02" w:hanging="0"/>
              <w:jc w:val="right"/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2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2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259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6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6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$5,692.52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$2,822.99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$2,869.53</w:t>
            </w:r>
            <w:r/>
          </w:p>
        </w:tc>
      </w:tr>
      <w:tr>
        <w:trPr>
          <w:trHeight w:val="263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2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2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62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3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2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2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INSUMOS MEDICO QUIRURGICO Y DE LABORATORIO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$4,625.00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$4,625.00</w:t>
            </w:r>
            <w:r/>
          </w:p>
        </w:tc>
      </w:tr>
      <w:tr>
        <w:trPr>
          <w:trHeight w:val="260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5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4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6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6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$882.50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$882.50</w:t>
            </w:r>
            <w:r/>
          </w:p>
        </w:tc>
      </w:tr>
      <w:tr>
        <w:trPr>
          <w:trHeight w:val="262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5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6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6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60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4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4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62" w:hRule="exact"/>
        </w:trPr>
        <w:tc>
          <w:tcPr>
            <w:tcW w:w="4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tbRl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14"/>
                <w:u w:val="single"/>
                <w:sz w:val="20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4"/>
                <w:w w:val="100"/>
                <w:position w:val="0"/>
                <w:sz w:val="20"/>
                <w:sz w:val="20"/>
                <w:u w:val="single"/>
                <w:shd w:fill="FFFFFF" w:val="clear"/>
                <w:vertAlign w:val="baseline"/>
                <w:lang w:val="es-ES"/>
              </w:rPr>
              <w:t>~~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6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6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$968.75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$47355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$495.20</w:t>
            </w:r>
            <w:r/>
          </w:p>
        </w:tc>
      </w:tr>
      <w:tr>
        <w:trPr>
          <w:trHeight w:val="260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8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6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6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$16835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$168.75</w:t>
            </w:r>
            <w:r/>
          </w:p>
        </w:tc>
      </w:tr>
      <w:tr>
        <w:trPr>
          <w:trHeight w:val="262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9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2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2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$812.50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$812.50</w:t>
            </w:r>
            <w:r/>
          </w:p>
        </w:tc>
      </w:tr>
      <w:tr>
        <w:trPr>
          <w:trHeight w:val="260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10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3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3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MANTENIMIENTO Y REPARACION DE INFRAESTRUCTURA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62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11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$589.98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$589.98</w:t>
            </w:r>
            <w:r/>
          </w:p>
        </w:tc>
      </w:tr>
      <w:tr>
        <w:trPr>
          <w:trHeight w:val="260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12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4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4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$550.00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$350.00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$200.00</w:t>
            </w:r>
            <w:r/>
          </w:p>
        </w:tc>
      </w:tr>
      <w:tr>
        <w:trPr>
          <w:trHeight w:val="259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13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4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4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63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14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2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2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$7,435.00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$19,353.46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8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18"/>
                <w:sz w:val="18"/>
                <w:shd w:fill="FFFFFF" w:val="clear"/>
                <w:vertAlign w:val="baseline"/>
                <w:lang w:val="es-ES"/>
              </w:rPr>
              <w:t>$11,918.46</w:t>
            </w:r>
            <w:r/>
          </w:p>
        </w:tc>
      </w:tr>
      <w:tr>
        <w:trPr>
          <w:trHeight w:val="259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15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4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4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HOSPEDAJE Y ESTANCIA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$250.00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$250.00</w:t>
            </w:r>
            <w:r/>
          </w:p>
        </w:tc>
      </w:tr>
      <w:tr>
        <w:trPr>
          <w:trHeight w:val="259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16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4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4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COMUNICACIONES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$275.00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$275.00</w:t>
            </w:r>
            <w:r/>
          </w:p>
        </w:tc>
      </w:tr>
      <w:tr>
        <w:trPr>
          <w:trHeight w:val="266" w:hRule="exact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17</w:t>
            </w:r>
            <w:r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2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2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GASTO DE SEGUIMIENTO Y MONITOREO DEL PROYECTO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$2,750.00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$2,000.00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$750.00</w:t>
            </w:r>
            <w:r/>
          </w:p>
        </w:tc>
      </w:tr>
      <w:tr>
        <w:trPr>
          <w:trHeight w:val="263" w:hRule="exact"/>
        </w:trPr>
        <w:tc>
          <w:tcPr>
            <w:tcW w:w="5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8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18, OTROS GASTOS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70" w:hRule="exact"/>
        </w:trPr>
        <w:tc>
          <w:tcPr>
            <w:tcW w:w="5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4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TOTAL</w:t>
            </w:r>
            <w:r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$25,000.00</w:t>
            </w:r>
            <w:r/>
          </w:p>
        </w:tc>
        <w:tc>
          <w:tcPr>
            <w:tcW w:w="30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000000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2959" w:leader="none"/>
              </w:tabs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8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8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$25,000.00,</w:t>
              <w:tab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</w:tbl>
    <w:p>
      <w:pPr>
        <w:pStyle w:val="Normal"/>
        <w:spacing w:lineRule="exact" w:line="20" w:before="0" w:after="290"/>
        <w:rPr>
          <w:shd w:fill="FFFFFF" w:val="clear"/>
        </w:rPr>
      </w:pPr>
      <w:r>
        <w:rPr>
          <w:shd w:fill="FFFFFF" w:val="clear"/>
        </w:rPr>
      </w:r>
      <w:r/>
    </w:p>
    <w:p>
      <w:pPr>
        <w:pStyle w:val="Normal"/>
        <w:spacing w:lineRule="auto" w:line="192" w:before="0" w:after="0"/>
        <w:ind w:left="504" w:right="0" w:hanging="0"/>
        <w:jc w:val="left"/>
        <w:rPr>
          <w:dstrike w:val="false"/>
          <w:strike w:val="false"/>
          <w:vertAlign w:val="baseline"/>
          <w:position w:val="0"/>
          <w:sz w:val="22"/>
          <w:sz w:val="17"/>
          <w:spacing w:val="-4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s-ES"/>
        </w:rPr>
        <w:t>NOTAS ACLARATORIAS:</w:t>
      </w:r>
      <w:r/>
    </w:p>
    <w:p>
      <w:pPr>
        <w:pStyle w:val="Normal"/>
        <w:spacing w:lineRule="auto" w:line="295" w:before="324" w:after="0"/>
        <w:ind w:left="504" w:right="72" w:hanging="0"/>
        <w:jc w:val="left"/>
        <w:rPr>
          <w:dstrike w:val="false"/>
          <w:strike w:val="false"/>
          <w:vertAlign w:val="baseline"/>
          <w:position w:val="0"/>
          <w:sz w:val="22"/>
          <w:sz w:val="17"/>
          <w:spacing w:val="-1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s-ES"/>
        </w:rPr>
        <w:t xml:space="preserve">* El sobre giro en el rubro, maquinaria y equipo se debe a la adquisición de vehículo para reforzar trabajo de campo </w:t>
      </w:r>
      <w:r>
        <w:rPr>
          <w:rFonts w:ascii="Tahoma" w:hAnsi="Tahoma"/>
          <w:b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s-ES"/>
        </w:rPr>
        <w:t>en jornadas medicas.</w:t>
      </w:r>
      <w:r/>
    </w:p>
    <w:p>
      <w:pPr>
        <w:pStyle w:val="Normal"/>
        <w:spacing w:lineRule="auto" w:line="300" w:before="108" w:after="0"/>
        <w:ind w:left="504" w:right="648" w:hanging="0"/>
        <w:jc w:val="left"/>
      </w:pP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 xml:space="preserve">* Para continuar la ejecución del programa sin retrazos, PRO-VIDA ha realizado un </w:t>
      </w: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>préstamo</w:t>
      </w:r>
      <w:r>
        <w:rPr>
          <w:rFonts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es-ES"/>
        </w:rPr>
        <w:t xml:space="preserve"> a la cuenta por la </w:t>
      </w:r>
      <w:r>
        <w:rPr>
          <w:rFonts w:ascii="Tahoma" w:hAnsi="Tahoma"/>
          <w:b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s-ES"/>
        </w:rPr>
        <w:t>cantidad de $ 9,628.64, se adjunta remesa realizada a la cuenta.</w:t>
      </w:r>
      <w:r/>
    </w:p>
    <w:p>
      <w:pPr>
        <w:pStyle w:val="Normal"/>
        <w:spacing w:lineRule="auto" w:line="192" w:before="576" w:after="72"/>
        <w:ind w:left="0" w:right="684" w:hanging="0"/>
        <w:jc w:val="right"/>
        <w:rPr>
          <w:dstrike w:val="false"/>
          <w:strike w:val="false"/>
          <w:vertAlign w:val="baseline"/>
          <w:position w:val="0"/>
          <w:sz w:val="22"/>
          <w:sz w:val="17"/>
          <w:spacing w:val="-6"/>
          <w:b/>
          <w:sz w:val="17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es-ES"/>
        </w:rPr>
        <w:t>10 DE ABRIL DE 2016</w:t>
      </w:r>
      <w:r/>
    </w:p>
    <w:p>
      <w:pPr>
        <w:pStyle w:val="Normal"/>
        <w:spacing w:lineRule="auto" w:line="194" w:before="108" w:after="0"/>
        <w:ind w:left="8424" w:right="0" w:hanging="0"/>
        <w:jc w:val="left"/>
      </w:pPr>
      <w:r>
        <w:rPr>
          <w:rFonts w:ascii="Tahoma" w:hAnsi="Tahoma"/>
          <w:b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s-ES"/>
        </w:rPr>
        <w:t>FECHA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4599940</wp:posOffset>
                </wp:positionH>
                <wp:positionV relativeFrom="paragraph">
                  <wp:posOffset>7620</wp:posOffset>
                </wp:positionV>
                <wp:extent cx="13627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596a6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2.2pt,0.6pt" to="515pt,0.6pt" stroked="t" style="position:absolute">
                <v:stroke color="#596a62" weight="14040" joinstyle="round" endcap="flat"/>
                <v:fill on="false" o:detectmouseclick="t"/>
              </v:line>
            </w:pict>
          </mc:Fallback>
        </mc:AlternateContent>
      </w:r>
      <w:r/>
    </w:p>
    <w:sectPr>
      <w:type w:val="nextPage"/>
      <w:pgSz w:w="12240" w:h="15840"/>
      <w:pgMar w:left="970" w:right="910" w:header="0" w:top="1434" w:footer="0" w:bottom="375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2016-08-26T10:34:23Z</dcterms:modified>
  <cp:revision>1</cp:revision>
</cp:coreProperties>
</file>