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2361" w:leader="none"/>
        </w:tabs>
        <w:spacing w:lineRule="exact" w:line="168" w:before="36" w:after="0"/>
        <w:ind w:left="144" w:right="0" w:hanging="0"/>
        <w:jc w:val="left"/>
        <w:rPr>
          <w:dstrike w:val="false"/>
          <w:strike w:val="false"/>
          <w:vertAlign w:val="baseline"/>
          <w:position w:val="0"/>
          <w:sz w:val="22"/>
          <w:sz w:val="27"/>
          <w:spacing w:val="0"/>
          <w:b/>
          <w:sz w:val="27"/>
          <w:b/>
          <w:w w:val="115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15"/>
          <w:position w:val="0"/>
          <w:sz w:val="27"/>
          <w:sz w:val="27"/>
          <w:vertAlign w:val="baseline"/>
          <w:lang w:val="es-ES"/>
        </w:rPr>
        <w:t>•</w:t>
      </w: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21"/>
          <w:sz w:val="21"/>
          <w:vertAlign w:val="baseline"/>
          <w:lang w:val="es-ES"/>
        </w:rPr>
        <w:tab/>
        <w:t>FUNDACION</w:t>
      </w:r>
      <w:r/>
    </w:p>
    <w:p>
      <w:pPr>
        <w:pStyle w:val="Normal"/>
        <w:spacing w:lineRule="exact" w:line="608" w:before="0" w:after="0"/>
        <w:ind w:left="1080" w:right="0" w:hanging="0"/>
        <w:jc w:val="left"/>
        <w:rPr>
          <w:dstrike w:val="false"/>
          <w:strike w:val="false"/>
          <w:vertAlign w:val="baseline"/>
          <w:position w:val="0"/>
          <w:sz w:val="22"/>
          <w:sz w:val="80"/>
          <w:spacing w:val="11"/>
          <w:b/>
          <w:sz w:val="80"/>
          <w:b/>
          <w:w w:val="8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1"/>
          <w:w w:val="80"/>
          <w:position w:val="0"/>
          <w:sz w:val="80"/>
          <w:sz w:val="80"/>
          <w:vertAlign w:val="baseline"/>
          <w:lang w:val="es-ES"/>
        </w:rPr>
        <w:t>cencia</w:t>
      </w:r>
      <w:r/>
    </w:p>
    <w:p>
      <w:pPr>
        <w:pStyle w:val="Normal"/>
        <w:spacing w:lineRule="auto" w:line="240" w:before="216" w:after="576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9"/>
          <w:spacing w:val="5"/>
          <w:sz w:val="9"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strike w:val="false"/>
          <w:dstrike w:val="false"/>
          <w:color w:val="000000"/>
          <w:spacing w:val="5"/>
          <w:w w:val="100"/>
          <w:position w:val="0"/>
          <w:sz w:val="9"/>
          <w:sz w:val="9"/>
          <w:vertAlign w:val="baseline"/>
          <w:lang w:val="es-ES"/>
        </w:rPr>
        <w:t>Pro-niñez con VIH y sida de El Salvador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386715</wp:posOffset>
                </wp:positionH>
                <wp:positionV relativeFrom="page">
                  <wp:posOffset>787400</wp:posOffset>
                </wp:positionV>
                <wp:extent cx="671830" cy="3454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345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720" w:right="39" w:hanging="0"/>
                              <w:jc w:val="lef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87960" cy="34544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2.9pt;height:27.2pt;mso-wrap-distance-left:0pt;mso-wrap-distance-right:0pt;mso-wrap-distance-top:0pt;mso-wrap-distance-bottom:0pt;margin-top:62pt;mso-position-vertical-relative:page;margin-left:30.4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720" w:right="39" w:hanging="0"/>
                        <w:jc w:val="left"/>
                      </w:pPr>
                      <w:r>
                        <w:rPr/>
                        <w:drawing>
                          <wp:inline distT="0" distB="0" distL="114935" distR="114935">
                            <wp:extent cx="187960" cy="34544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71" w:before="0" w:after="396"/>
        <w:ind w:left="6840" w:right="576" w:firstLine="432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4"/>
          <w:b/>
          <w:sz w:val="20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es-ES"/>
        </w:rPr>
        <w:t xml:space="preserve">MINISTERIO DE SALUD PUBLICA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20"/>
          <w:sz w:val="20"/>
          <w:vertAlign w:val="baseline"/>
          <w:lang w:val="es-ES"/>
        </w:rPr>
        <w:t>UNIDAD FINANCIERA INSTITUCIONAL</w:t>
      </w:r>
      <w:r/>
    </w:p>
    <w:p>
      <w:pPr>
        <w:pStyle w:val="Normal"/>
        <w:spacing w:lineRule="auto" w:line="196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1"/>
          <w:b/>
          <w:sz w:val="20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0"/>
          <w:sz w:val="20"/>
          <w:vertAlign w:val="baseline"/>
          <w:lang w:val="es-ES"/>
        </w:rPr>
        <w:t>FUNDACION INOCENCIA</w:t>
      </w:r>
      <w:r/>
    </w:p>
    <w:p>
      <w:pPr>
        <w:pStyle w:val="Normal"/>
        <w:spacing w:lineRule="auto" w:line="196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6"/>
          <w:b/>
          <w:sz w:val="20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20"/>
          <w:sz w:val="20"/>
          <w:vertAlign w:val="baseline"/>
          <w:lang w:val="es-ES"/>
        </w:rPr>
        <w:t xml:space="preserve">INFORME DE </w:t>
      </w: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20"/>
          <w:sz w:val="20"/>
          <w:vertAlign w:val="baseline"/>
          <w:lang w:val="es-ES"/>
        </w:rPr>
        <w:t>EJECUCIÓN</w:t>
      </w: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20"/>
          <w:sz w:val="20"/>
          <w:vertAlign w:val="baseline"/>
          <w:lang w:val="es-ES"/>
        </w:rPr>
        <w:t xml:space="preserve"> DE FONDOS</w:t>
      </w:r>
      <w:r/>
    </w:p>
    <w:p>
      <w:pPr>
        <w:pStyle w:val="Normal"/>
        <w:spacing w:lineRule="auto" w:line="204" w:before="72" w:after="0"/>
        <w:ind w:left="144" w:right="0" w:hanging="0"/>
        <w:jc w:val="left"/>
        <w:rPr>
          <w:dstrike w:val="false"/>
          <w:strike w:val="false"/>
          <w:vertAlign w:val="baseline"/>
          <w:position w:val="0"/>
          <w:sz w:val="22"/>
          <w:sz w:val="20"/>
          <w:spacing w:val="10"/>
          <w:b/>
          <w:sz w:val="20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20"/>
          <w:sz w:val="20"/>
          <w:vertAlign w:val="baseline"/>
          <w:lang w:val="es-ES"/>
        </w:rPr>
        <w:t>EJERCICIO FISCAL: 2016</w:t>
      </w:r>
      <w:r/>
    </w:p>
    <w:p>
      <w:pPr>
        <w:pStyle w:val="Normal"/>
        <w:spacing w:lineRule="auto" w:line="240" w:before="72" w:after="0"/>
        <w:ind w:left="0" w:right="648" w:hanging="0"/>
        <w:jc w:val="right"/>
        <w:rPr>
          <w:dstrike w:val="false"/>
          <w:strike w:val="false"/>
          <w:vertAlign w:val="baseline"/>
          <w:position w:val="0"/>
          <w:sz w:val="22"/>
          <w:sz w:val="20"/>
          <w:spacing w:val="15"/>
          <w:b/>
          <w:sz w:val="20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5"/>
          <w:w w:val="100"/>
          <w:position w:val="0"/>
          <w:sz w:val="20"/>
          <w:sz w:val="20"/>
          <w:vertAlign w:val="baseline"/>
          <w:lang w:val="es-ES"/>
        </w:rPr>
        <w:t>PERIODO REPORTADO: Abril/junio 2016</w:t>
      </w:r>
      <w:r/>
    </w:p>
    <w:tbl>
      <w:tblPr>
        <w:tblW w:w="10836" w:type="dxa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521"/>
        <w:gridCol w:w="5838"/>
        <w:gridCol w:w="1"/>
        <w:gridCol w:w="1410"/>
        <w:gridCol w:w="1"/>
        <w:gridCol w:w="1411"/>
        <w:gridCol w:w="1"/>
        <w:gridCol w:w="1653"/>
      </w:tblGrid>
      <w:tr>
        <w:trPr>
          <w:trHeight w:val="270" w:hRule="exact"/>
        </w:trPr>
        <w:tc>
          <w:tcPr>
            <w:tcW w:w="6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3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12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TIPO DE GASTO</w:t>
            </w:r>
            <w:r/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6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INGRESOS</w:t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EJECUTADO</w:t>
            </w:r>
            <w:r/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9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9"/>
                <w:w w:val="100"/>
                <w:position w:val="0"/>
                <w:sz w:val="16"/>
                <w:sz w:val="16"/>
                <w:vertAlign w:val="baseline"/>
                <w:lang w:val="es-ES"/>
              </w:rPr>
              <w:t>DISPONIBILIDAD</w:t>
            </w:r>
            <w:r/>
          </w:p>
        </w:tc>
      </w:tr>
      <w:tr>
        <w:trPr>
          <w:trHeight w:val="256" w:hRule="exact"/>
        </w:trPr>
        <w:tc>
          <w:tcPr>
            <w:tcW w:w="6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67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12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SALDO DEL PERIODO ANTERIOR</w:t>
            </w:r>
            <w:r/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315" w:leader="none"/>
              </w:tabs>
              <w:spacing w:lineRule="auto" w:line="240" w:before="0" w:after="0"/>
              <w:ind w:left="0" w:right="9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8"/>
                <w:w w:val="100"/>
                <w:position w:val="0"/>
                <w:sz w:val="16"/>
                <w:sz w:val="16"/>
                <w:vertAlign w:val="baseline"/>
                <w:lang w:val="es-ES"/>
              </w:rPr>
              <w:t>300.02</w:t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544" w:leader="none"/>
              </w:tabs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7,800.02</w:t>
            </w:r>
            <w:r/>
          </w:p>
        </w:tc>
      </w:tr>
      <w:tr>
        <w:trPr>
          <w:trHeight w:val="280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$ 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7,500.00</w:t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304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4,505.00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decimal" w:pos="81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$3,295.02</w:t>
            </w:r>
            <w:r/>
          </w:p>
        </w:tc>
      </w:tr>
      <w:tr>
        <w:trPr>
          <w:trHeight w:val="256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2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28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6"/>
                <w:spacing w:val="0"/>
                <w:sz w:val="6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es-ES"/>
              </w:rPr>
              <w:t xml:space="preserve">-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INSUMOS MEDICO QUIRURJICO Y DE LABORATORIO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0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4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COMBUSTIBLES Y LUBRICANTES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5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5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4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0"/>
                <w:sz w:val="20"/>
                <w:vertAlign w:val="baseline"/>
                <w:lang w:val="es-ES"/>
              </w:rPr>
              <w:t>LLANTAS NEUMATICOS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6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2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20"/>
                <w:position w:val="0"/>
                <w:sz w:val="17"/>
                <w:sz w:val="17"/>
                <w:vertAlign w:val="baseline"/>
                <w:lang w:val="es-ES"/>
              </w:rPr>
              <w:t>6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2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0"/>
                <w:sz w:val="20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5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PAPELERIA Y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UTILES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97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99.44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decimal" w:pos="81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$3,195.58</w:t>
            </w:r>
            <w:r/>
          </w:p>
        </w:tc>
      </w:tr>
      <w:tr>
        <w:trPr>
          <w:trHeight w:val="252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2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6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10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MANTTO. Y REPARACIÓN DE INFRAESTRUCTURA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02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11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MANTTO. Y REPARACIÓN DE EQUIPO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60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12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VIÁTICOS Y PASAJE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97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842.80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decimal" w:pos="81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$2,352.78</w:t>
            </w:r>
            <w:r/>
          </w:p>
        </w:tc>
      </w:tr>
      <w:tr>
        <w:trPr>
          <w:trHeight w:val="270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13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SERVICIOS BÁSICOS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2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14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SERVICIOS DE VIGILANCIA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9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15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8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COMUNICACIÓN SOCIAL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9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16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ARRENDAMIENTOS Y DERECHOS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464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17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36" w:right="396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3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SERVICIOS COMERCIALES, FINANCIAMIENTO E IMPUESTOS 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3"/>
                <w:w w:val="100"/>
                <w:position w:val="0"/>
                <w:sz w:val="6"/>
                <w:sz w:val="6"/>
                <w:vertAlign w:val="baseline"/>
                <w:lang w:val="es-ES"/>
              </w:rPr>
              <w:t xml:space="preserve">.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17"/>
                <w:sz w:val="17"/>
                <w:vertAlign w:val="baseline"/>
                <w:lang w:val="es-ES"/>
              </w:rPr>
              <w:t xml:space="preserve">Y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TASAS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60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18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SERVICIOS TECNICOS Y PROFESIONALES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93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1,954.98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$397.80</w:t>
            </w:r>
            <w:r/>
          </w:p>
        </w:tc>
      </w:tr>
      <w:tr>
        <w:trPr>
          <w:trHeight w:val="252" w:hRule="exact"/>
        </w:trPr>
        <w:tc>
          <w:tcPr>
            <w:tcW w:w="5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5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42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20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Capacitaciones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93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47.00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$350.80</w:t>
            </w:r>
            <w:r/>
          </w:p>
        </w:tc>
      </w:tr>
      <w:tr>
        <w:trPr>
          <w:trHeight w:val="256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4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21</w:t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4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20"/>
                <w:sz w:val="20"/>
                <w:vertAlign w:val="baseline"/>
                <w:lang w:val="es-ES"/>
              </w:rPr>
              <w:t>Materiales de higiene</w:t>
            </w:r>
            <w:r/>
          </w:p>
        </w:tc>
        <w:tc>
          <w:tcPr>
            <w:tcW w:w="1411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93" w:leader="none"/>
              </w:tabs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233.04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$1 17.76</w:t>
            </w:r>
            <w:r/>
          </w:p>
        </w:tc>
      </w:tr>
      <w:tr>
        <w:trPr>
          <w:trHeight w:val="266" w:hRule="exac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TOTAL</w:t>
            </w:r>
            <w:r/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8"/>
                <w:b/>
                <w:sz w:val="20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8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$ 7,800.02</w:t>
            </w:r>
            <w:r/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8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20"/>
                <w:b/>
                <w:sz w:val="20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2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$ 7,682.26</w:t>
            </w:r>
            <w:r/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512" w:leader="none"/>
              </w:tabs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0"/>
                <w:b/>
                <w:sz w:val="20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4"/>
                <w:w w:val="100"/>
                <w:position w:val="0"/>
                <w:sz w:val="20"/>
                <w:sz w:val="20"/>
                <w:vertAlign w:val="baseline"/>
                <w:lang w:val="es-ES"/>
              </w:rPr>
              <w:t>117.76</w:t>
            </w:r>
            <w:r/>
          </w:p>
        </w:tc>
      </w:tr>
    </w:tbl>
    <w:p>
      <w:pPr>
        <w:pStyle w:val="Normal"/>
        <w:spacing w:lineRule="exact" w:line="20" w:before="0" w:after="607"/>
        <w:rPr/>
      </w:pPr>
      <w:r>
        <w:rPr/>
      </w:r>
      <w:r/>
    </w:p>
    <w:tbl>
      <w:tblPr>
        <w:tblW w:w="115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849"/>
        <w:gridCol w:w="1621"/>
        <w:gridCol w:w="3049"/>
      </w:tblGrid>
      <w:tr>
        <w:trPr>
          <w:trHeight w:val="1152" w:hRule="exact"/>
        </w:trPr>
        <w:tc>
          <w:tcPr>
            <w:tcW w:w="6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824" w:right="295" w:hanging="0"/>
              <w:jc w:val="right"/>
            </w:pPr>
            <w:r>
              <w:rPr/>
              <w:drawing>
                <wp:inline distT="0" distB="0" distL="114935" distR="114935">
                  <wp:extent cx="1083310" cy="73152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67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72" w:after="0"/>
              <w:ind w:left="0" w:right="66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6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 xml:space="preserve">San Salvador,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25"/>
                <w:position w:val="0"/>
                <w:sz w:val="20"/>
                <w:sz w:val="20"/>
                <w:vertAlign w:val="baseline"/>
                <w:lang w:val="es-ES"/>
              </w:rPr>
              <w:t xml:space="preserve">7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de julio de 2016</w:t>
            </w:r>
            <w:r/>
          </w:p>
          <w:p>
            <w:pPr>
              <w:pStyle w:val="Normal"/>
              <w:spacing w:lineRule="exact" w:line="152" w:before="720" w:after="0"/>
              <w:ind w:left="0" w:right="201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1"/>
                <w:spacing w:val="10"/>
                <w:b/>
                <w:sz w:val="21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vertAlign w:val="baseline"/>
                <w:lang w:val="es-ES"/>
              </w:rPr>
              <w:t>FUNDAC1ON</w:t>
            </w:r>
            <w:r/>
          </w:p>
          <w:p>
            <w:pPr>
              <w:pStyle w:val="Normal"/>
              <w:spacing w:lineRule="exact" w:line="518" w:before="0" w:after="0"/>
              <w:ind w:left="0" w:right="147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75"/>
                <w:spacing w:val="0"/>
                <w:b/>
                <w:sz w:val="75"/>
                <w:b/>
                <w:w w:val="7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70"/>
                <w:position w:val="0"/>
                <w:sz w:val="75"/>
                <w:sz w:val="75"/>
                <w:vertAlign w:val="baseline"/>
                <w:lang w:val="es-ES"/>
              </w:rPr>
              <w:t xml:space="preserve">in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0"/>
                <w:w w:val="100"/>
                <w:position w:val="0"/>
                <w:sz w:val="77"/>
                <w:sz w:val="77"/>
                <w:vertAlign w:val="baseline"/>
                <w:lang w:val="es-ES"/>
              </w:rPr>
              <w:t>cencia</w:t>
            </w:r>
            <w:r/>
          </w:p>
        </w:tc>
      </w:tr>
      <w:tr>
        <w:trPr>
          <w:trHeight w:val="543" w:hRule="exact"/>
        </w:trPr>
        <w:tc>
          <w:tcPr>
            <w:tcW w:w="68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left="4644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0"/>
                <w:spacing w:val="15"/>
                <w:sz w:val="20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5"/>
                <w:w w:val="100"/>
                <w:position w:val="0"/>
                <w:sz w:val="20"/>
                <w:sz w:val="20"/>
                <w:vertAlign w:val="baseline"/>
                <w:lang w:val="es-ES"/>
              </w:rPr>
              <w:t>Lic. Yol n a Gutiérrez</w:t>
              <w:br/>
              <w:br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0"/>
                <w:sz w:val="20"/>
                <w:vertAlign w:val="baseline"/>
                <w:lang w:val="es-ES"/>
              </w:rPr>
              <w:t>Directora Ejecutiva</w:t>
            </w:r>
            <w:r/>
          </w:p>
        </w:tc>
        <w:tc>
          <w:tcPr>
            <w:tcW w:w="467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67" w:hRule="exact"/>
        </w:trPr>
        <w:tc>
          <w:tcPr>
            <w:tcW w:w="84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9"/>
              <w:ind w:left="7704" w:right="0" w:hanging="0"/>
              <w:jc w:val="right"/>
            </w:pPr>
            <w:r>
              <w:rPr/>
              <w:drawing>
                <wp:inline distT="0" distB="0" distL="114935" distR="114935">
                  <wp:extent cx="457200" cy="290830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3049" w:type="dxa"/>
            <w:tcBorders/>
            <w:shd w:fill="auto" w:val="clear"/>
          </w:tcPr>
          <w:p>
            <w:pPr>
              <w:pStyle w:val="Normal"/>
              <w:spacing w:lineRule="auto" w:line="204" w:before="0" w:after="0"/>
              <w:ind w:left="36" w:right="216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4"/>
                <w:sz w:val="16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4"/>
                <w:w w:val="100"/>
                <w:position w:val="0"/>
                <w:sz w:val="16"/>
                <w:sz w:val="16"/>
                <w:vertAlign w:val="baseline"/>
                <w:lang w:val="es-ES"/>
              </w:rPr>
              <w:t xml:space="preserve">Pro-Wos ccri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5"/>
                <w:w w:val="100"/>
                <w:position w:val="0"/>
                <w:sz w:val="16"/>
                <w:sz w:val="16"/>
                <w:vertAlign w:val="baseline"/>
                <w:lang w:val="es-ES"/>
              </w:rPr>
              <w:t>de El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5"/>
                <w:w w:val="100"/>
                <w:position w:val="0"/>
                <w:sz w:val="14"/>
                <w:sz w:val="14"/>
                <w:vertAlign w:val="baseline"/>
                <w:lang w:val="es-ES"/>
              </w:rPr>
              <w:t xml:space="preserve"> Salvdde-</w:t>
            </w:r>
            <w:r/>
          </w:p>
        </w:tc>
      </w:tr>
    </w:tbl>
    <w:p>
      <w:pPr>
        <w:pStyle w:val="Normal"/>
        <w:spacing w:lineRule="exact" w:line="20" w:before="0" w:after="232"/>
        <w:rPr/>
      </w:pPr>
      <w:r>
        <w:rPr/>
      </w:r>
      <w:r/>
    </w:p>
    <w:p>
      <w:pPr>
        <w:pStyle w:val="Normal"/>
        <w:spacing w:lineRule="auto" w:line="240" w:before="144" w:after="0"/>
        <w:ind w:left="216" w:right="0" w:hanging="0"/>
        <w:jc w:val="center"/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s-ES"/>
        </w:rPr>
        <w:t>Fundación Inocencia Pro-niños con VIH/SIDA de El Salvador</w:t>
        <w:br/>
        <w:br/>
        <w:t>Hospital de Niños Benjamín Bloom, Edificio anexo, Boulevard de los Héroes, San Salvador.</w:t>
        <w:br/>
        <w:br/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s-ES"/>
        </w:rPr>
        <w:t>Tel Fax: 2226-8049</w:t>
        <w:br/>
        <w:br/>
      </w:r>
      <w:hyperlink r:id="rId5">
        <w:r>
          <w:rPr>
            <w:rStyle w:val="EnlacedeInternet"/>
            <w:rFonts w:ascii="Tahoma" w:hAnsi="Tahoma"/>
            <w:strike w:val="false"/>
            <w:dstrike w:val="false"/>
            <w:color w:val="000000"/>
            <w:spacing w:val="6"/>
            <w:w w:val="100"/>
            <w:position w:val="0"/>
            <w:sz w:val="17"/>
            <w:sz w:val="17"/>
            <w:u w:val="single"/>
            <w:vertAlign w:val="baseline"/>
            <w:lang w:val="es-ES"/>
          </w:rPr>
          <w:t>www.inocenciavihsida.org.sv</w:t>
        </w:r>
      </w:hyperlink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s-ES"/>
        </w:rPr>
        <w:br/>
        <w:br/>
      </w:r>
      <w:hyperlink r:id="rId6">
        <w:r>
          <w:rPr>
            <w:rStyle w:val="EnlacedeInternet"/>
            <w:rFonts w:ascii="Tahoma" w:hAnsi="Tahoma"/>
            <w:strike w:val="false"/>
            <w:dstrike w:val="false"/>
            <w:color w:val="000000"/>
            <w:spacing w:val="6"/>
            <w:w w:val="100"/>
            <w:position w:val="0"/>
            <w:sz w:val="17"/>
            <w:sz w:val="17"/>
            <w:u w:val="single"/>
            <w:vertAlign w:val="baseline"/>
            <w:lang w:val="es-ES"/>
          </w:rPr>
          <w:t>E-mail: fundacion@inocenciavihsida.org.sv</w:t>
          <mc:AlternateContent>
            <mc:Choice Requires="wps"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5046345" cy="1270"/>
                  <wp:effectExtent l="0" t="0" r="0" b="0"/>
                  <wp:wrapNone/>
                  <wp:docPr id="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902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fc785a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pt,0.8pt" to="566.1pt,0.8pt" stroked="t" style="position:absolute">
                  <v:stroke color="#fc785a" weight="18360" joinstyle="round" endcap="flat"/>
                  <v:fill on="false" o:detectmouseclick="t"/>
                </v:line>
              </w:pict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</wp:posOffset>
                  </wp:positionV>
                  <wp:extent cx="5046345" cy="1270"/>
                  <wp:effectExtent l="0" t="0" r="0" b="0"/>
                  <wp:wrapNone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90280" cy="0"/>
                          </a:xfrm>
                          <a:prstGeom prst="line">
                            <a:avLst/>
                          </a:prstGeom>
                          <a:ln w="50040">
                            <a:solidFill>
                              <a:srgbClr val="f8755a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pt,5.85pt" to="566.1pt,5.85pt" stroked="t" style="position:absolute">
                  <v:stroke color="#f8755a" weight="50040" joinstyle="round" endcap="flat"/>
                  <v:fill on="false" o:detectmouseclick="t"/>
                </v:line>
              </w:pict>
            </mc:Fallback>
          </mc:AlternateContent>
        </w:r>
      </w:hyperlink>
      <w:r/>
    </w:p>
    <w:sectPr>
      <w:type w:val="nextPage"/>
      <w:pgSz w:w="12240" w:h="15840"/>
      <w:pgMar w:left="609" w:right="51" w:header="0" w:top="578" w:footer="0" w:bottom="2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inocenciavihsida.org.sv/" TargetMode="External"/><Relationship Id="rId6" Type="http://schemas.openxmlformats.org/officeDocument/2006/relationships/hyperlink" Target="mailto:fundacion@inocenciavihsida.org.sv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2016-09-13T14:33:55Z</dcterms:modified>
  <cp:revision>1</cp:revision>
</cp:coreProperties>
</file>